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Pr>
          <w:rFonts w:ascii="Peterburg" w:eastAsia="Times New Roman" w:hAnsi="Peterburg" w:cs="Times New Roman"/>
          <w:noProof/>
          <w:sz w:val="28"/>
          <w:szCs w:val="20"/>
          <w:lang w:eastAsia="ru-RU"/>
        </w:rPr>
        <w:drawing>
          <wp:anchor distT="0" distB="0" distL="114300" distR="114300" simplePos="0" relativeHeight="251659264" behindDoc="0" locked="0" layoutInCell="1" allowOverlap="1">
            <wp:simplePos x="0" y="0"/>
            <wp:positionH relativeFrom="column">
              <wp:posOffset>2447290</wp:posOffset>
            </wp:positionH>
            <wp:positionV relativeFrom="paragraph">
              <wp:posOffset>29845</wp:posOffset>
            </wp:positionV>
            <wp:extent cx="1081405" cy="134239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A51">
        <w:rPr>
          <w:rFonts w:ascii="Arial New Bash" w:eastAsia="Times New Roman" w:hAnsi="Arial New Bash" w:cs="Times New Roman"/>
          <w:sz w:val="24"/>
          <w:szCs w:val="24"/>
          <w:lang w:eastAsia="ru-RU"/>
        </w:rPr>
        <w:t xml:space="preserve">  </w:t>
      </w:r>
      <w:r w:rsidRPr="00856A51">
        <w:rPr>
          <w:rFonts w:ascii="Arial New Bash" w:eastAsia="Times New Roman" w:hAnsi="Arial New Bash" w:cs="Times New Roman"/>
          <w:sz w:val="20"/>
          <w:szCs w:val="20"/>
          <w:lang w:eastAsia="ru-RU"/>
        </w:rPr>
        <w:t>Баш</w:t>
      </w:r>
      <w:r w:rsidRPr="00856A51">
        <w:rPr>
          <w:rFonts w:ascii="Arial" w:eastAsia="Times New Roman" w:hAnsi="Arial" w:cs="Arial"/>
          <w:sz w:val="20"/>
          <w:szCs w:val="20"/>
          <w:lang w:eastAsia="ru-RU"/>
        </w:rPr>
        <w:t>к</w:t>
      </w:r>
      <w:r w:rsidRPr="00856A51">
        <w:rPr>
          <w:rFonts w:ascii="Arial New Bash" w:eastAsia="Times New Roman" w:hAnsi="Arial New Bash" w:cs="Times New Roman"/>
          <w:sz w:val="20"/>
          <w:szCs w:val="20"/>
          <w:lang w:eastAsia="ru-RU"/>
        </w:rPr>
        <w:t>ортостан</w:t>
      </w:r>
      <w:r w:rsidRPr="00856A51">
        <w:rPr>
          <w:rFonts w:ascii="Times New Roman" w:eastAsia="Times New Roman" w:hAnsi="Times New Roman" w:cs="Times New Roman"/>
          <w:sz w:val="20"/>
          <w:szCs w:val="20"/>
          <w:lang w:eastAsia="ru-RU"/>
        </w:rPr>
        <w:t xml:space="preserve"> </w:t>
      </w:r>
      <w:proofErr w:type="spellStart"/>
      <w:r w:rsidRPr="00856A51">
        <w:rPr>
          <w:rFonts w:ascii="Arial New Bash" w:eastAsia="Times New Roman" w:hAnsi="Arial New Bash" w:cs="Times New Roman"/>
          <w:sz w:val="20"/>
          <w:szCs w:val="20"/>
          <w:lang w:eastAsia="ru-RU"/>
        </w:rPr>
        <w:t>Республика</w:t>
      </w:r>
      <w:r w:rsidRPr="00856A51">
        <w:rPr>
          <w:rFonts w:ascii="Arial" w:eastAsia="Times New Roman" w:hAnsi="Arial" w:cs="Arial"/>
          <w:sz w:val="20"/>
          <w:szCs w:val="20"/>
          <w:lang w:eastAsia="ru-RU"/>
        </w:rPr>
        <w:t>һ</w:t>
      </w:r>
      <w:r w:rsidRPr="00856A51">
        <w:rPr>
          <w:rFonts w:ascii="Arial New Bash" w:eastAsia="Times New Roman" w:hAnsi="Arial New Bash" w:cs="Times New Roman"/>
          <w:sz w:val="20"/>
          <w:szCs w:val="20"/>
          <w:lang w:eastAsia="ru-RU"/>
        </w:rPr>
        <w:t>ы</w:t>
      </w:r>
      <w:proofErr w:type="spellEnd"/>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proofErr w:type="spellStart"/>
      <w:r w:rsidRPr="00856A51">
        <w:rPr>
          <w:rFonts w:ascii="Arial New Bash" w:eastAsia="Times New Roman" w:hAnsi="Arial New Bash" w:cs="Times New Roman"/>
          <w:sz w:val="20"/>
          <w:szCs w:val="20"/>
          <w:lang w:eastAsia="ru-RU"/>
        </w:rPr>
        <w:t>Д</w:t>
      </w:r>
      <w:r w:rsidRPr="00856A51">
        <w:rPr>
          <w:rFonts w:ascii="Arial" w:eastAsia="Times New Roman" w:hAnsi="Arial" w:cs="Arial"/>
          <w:sz w:val="20"/>
          <w:szCs w:val="20"/>
          <w:lang w:eastAsia="ru-RU"/>
        </w:rPr>
        <w:t>əүлəкəн</w:t>
      </w:r>
      <w:proofErr w:type="spellEnd"/>
      <w:r w:rsidRPr="00856A51">
        <w:rPr>
          <w:rFonts w:ascii="Arial New Bash" w:eastAsia="Times New Roman" w:hAnsi="Arial New Bash" w:cs="Times New Roman"/>
          <w:sz w:val="20"/>
          <w:szCs w:val="20"/>
          <w:lang w:eastAsia="ru-RU"/>
        </w:rPr>
        <w:t xml:space="preserve"> районы</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proofErr w:type="spellStart"/>
      <w:r w:rsidRPr="00856A51">
        <w:rPr>
          <w:rFonts w:ascii="Arial New Bash" w:eastAsia="Times New Roman" w:hAnsi="Arial New Bash" w:cs="Times New Roman"/>
          <w:sz w:val="20"/>
          <w:szCs w:val="20"/>
          <w:lang w:eastAsia="ru-RU"/>
        </w:rPr>
        <w:t>муниципаль</w:t>
      </w:r>
      <w:proofErr w:type="spellEnd"/>
      <w:r w:rsidRPr="00856A51">
        <w:rPr>
          <w:rFonts w:ascii="Arial New Bash" w:eastAsia="Times New Roman" w:hAnsi="Arial New Bash" w:cs="Times New Roman"/>
          <w:sz w:val="20"/>
          <w:szCs w:val="20"/>
          <w:lang w:eastAsia="ru-RU"/>
        </w:rPr>
        <w:t xml:space="preserve"> районы</w:t>
      </w:r>
      <w:r w:rsidRPr="00856A51">
        <w:rPr>
          <w:rFonts w:ascii="Arial New Bash" w:eastAsia="Times New Roman" w:hAnsi="Arial New Bash" w:cs="Times New Roman"/>
          <w:sz w:val="20"/>
          <w:szCs w:val="20"/>
          <w:lang w:val="be-BY" w:eastAsia="ru-RU"/>
        </w:rPr>
        <w:t>ны</w:t>
      </w:r>
      <w:r w:rsidRPr="00856A51">
        <w:rPr>
          <w:rFonts w:ascii="Peterburg" w:eastAsia="Times New Roman" w:hAnsi="Peterburg" w:cs="Times New Roman"/>
          <w:sz w:val="20"/>
          <w:szCs w:val="20"/>
          <w:lang w:val="be-BY" w:eastAsia="ru-RU"/>
        </w:rPr>
        <w:t>ң</w:t>
      </w:r>
      <w:r w:rsidRPr="00856A51">
        <w:rPr>
          <w:rFonts w:ascii="Arial New Bash" w:eastAsia="Times New Roman" w:hAnsi="Arial New Bash" w:cs="Times New Roman"/>
          <w:sz w:val="20"/>
          <w:szCs w:val="20"/>
          <w:lang w:eastAsia="ru-RU"/>
        </w:rPr>
        <w:t xml:space="preserve"> </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sidRPr="00856A51">
        <w:rPr>
          <w:rFonts w:ascii="Arial" w:eastAsia="Times New Roman" w:hAnsi="Arial" w:cs="Arial"/>
          <w:sz w:val="20"/>
          <w:szCs w:val="20"/>
          <w:lang w:eastAsia="ru-RU"/>
        </w:rPr>
        <w:t>Ивановка</w:t>
      </w:r>
      <w:r w:rsidRPr="00856A51">
        <w:rPr>
          <w:rFonts w:ascii="Arial New Bash" w:eastAsia="Times New Roman" w:hAnsi="Arial New Bash" w:cs="Times New Roman"/>
          <w:sz w:val="20"/>
          <w:szCs w:val="20"/>
          <w:lang w:eastAsia="ru-RU"/>
        </w:rPr>
        <w:t xml:space="preserve"> </w:t>
      </w:r>
      <w:proofErr w:type="spellStart"/>
      <w:r w:rsidRPr="00856A51">
        <w:rPr>
          <w:rFonts w:ascii="Arial New Bash" w:eastAsia="Times New Roman" w:hAnsi="Arial New Bash" w:cs="Times New Roman"/>
          <w:sz w:val="20"/>
          <w:szCs w:val="20"/>
          <w:lang w:eastAsia="ru-RU"/>
        </w:rPr>
        <w:t>ауыл</w:t>
      </w:r>
      <w:proofErr w:type="spellEnd"/>
      <w:r w:rsidRPr="00856A51">
        <w:rPr>
          <w:rFonts w:ascii="Arial New Bash" w:eastAsia="Times New Roman" w:hAnsi="Arial New Bash" w:cs="Times New Roman"/>
          <w:sz w:val="20"/>
          <w:szCs w:val="20"/>
          <w:lang w:eastAsia="ru-RU"/>
        </w:rPr>
        <w:t xml:space="preserve"> Советы</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proofErr w:type="spellStart"/>
      <w:r w:rsidRPr="00856A51">
        <w:rPr>
          <w:rFonts w:ascii="Arial New Bash" w:eastAsia="Times New Roman" w:hAnsi="Arial New Bash" w:cs="Times New Roman"/>
          <w:sz w:val="20"/>
          <w:szCs w:val="20"/>
          <w:lang w:eastAsia="ru-RU"/>
        </w:rPr>
        <w:t>ауыл</w:t>
      </w:r>
      <w:proofErr w:type="spellEnd"/>
      <w:r w:rsidRPr="00856A51">
        <w:rPr>
          <w:rFonts w:ascii="Arial New Bash" w:eastAsia="Times New Roman" w:hAnsi="Arial New Bash" w:cs="Times New Roman"/>
          <w:sz w:val="20"/>
          <w:szCs w:val="20"/>
          <w:lang w:eastAsia="ru-RU"/>
        </w:rPr>
        <w:t xml:space="preserve"> </w:t>
      </w:r>
      <w:proofErr w:type="spellStart"/>
      <w:r w:rsidRPr="00856A51">
        <w:rPr>
          <w:rFonts w:ascii="Arial New Bash" w:eastAsia="Times New Roman" w:hAnsi="Arial New Bash" w:cs="Times New Roman"/>
          <w:sz w:val="20"/>
          <w:szCs w:val="20"/>
          <w:lang w:eastAsia="ru-RU"/>
        </w:rPr>
        <w:t>бил</w:t>
      </w:r>
      <w:r w:rsidRPr="00856A51">
        <w:rPr>
          <w:rFonts w:ascii="Arial" w:eastAsia="Times New Roman" w:hAnsi="Arial" w:cs="Arial"/>
          <w:sz w:val="20"/>
          <w:szCs w:val="20"/>
          <w:lang w:eastAsia="ru-RU"/>
        </w:rPr>
        <w:t>əмəһе</w:t>
      </w:r>
      <w:proofErr w:type="spellEnd"/>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proofErr w:type="spellStart"/>
      <w:r w:rsidRPr="00856A51">
        <w:rPr>
          <w:rFonts w:ascii="Arial New Bash" w:eastAsia="Times New Roman" w:hAnsi="Arial New Bash" w:cs="Times New Roman"/>
          <w:sz w:val="20"/>
          <w:szCs w:val="20"/>
          <w:lang w:eastAsia="ru-RU"/>
        </w:rPr>
        <w:t>хакими</w:t>
      </w:r>
      <w:r w:rsidRPr="00856A51">
        <w:rPr>
          <w:rFonts w:ascii="Arial" w:eastAsia="Times New Roman" w:hAnsi="Arial" w:cs="Arial"/>
          <w:sz w:val="20"/>
          <w:szCs w:val="20"/>
          <w:lang w:eastAsia="ru-RU"/>
        </w:rPr>
        <w:t>ə</w:t>
      </w:r>
      <w:r w:rsidRPr="00856A51">
        <w:rPr>
          <w:rFonts w:ascii="Arial New Bash" w:eastAsia="Times New Roman" w:hAnsi="Arial New Bash" w:cs="Times New Roman"/>
          <w:sz w:val="20"/>
          <w:szCs w:val="20"/>
          <w:lang w:eastAsia="ru-RU"/>
        </w:rPr>
        <w:t>те</w:t>
      </w:r>
      <w:proofErr w:type="spellEnd"/>
    </w:p>
    <w:p w:rsidR="00856A51" w:rsidRPr="00856A51" w:rsidRDefault="00856A51" w:rsidP="00856A51">
      <w:pPr>
        <w:spacing w:after="0" w:line="200" w:lineRule="atLeast"/>
        <w:jc w:val="center"/>
        <w:rPr>
          <w:rFonts w:ascii="Arial New Bash" w:eastAsia="Times New Roman" w:hAnsi="Arial New Bash" w:cs="Times New Roman"/>
          <w:b/>
          <w:szCs w:val="20"/>
          <w:lang w:eastAsia="ru-RU"/>
        </w:rPr>
      </w:pPr>
    </w:p>
    <w:p w:rsidR="00856A51" w:rsidRPr="00856A51" w:rsidRDefault="00856A51" w:rsidP="00856A51">
      <w:pPr>
        <w:spacing w:after="0" w:line="240" w:lineRule="auto"/>
        <w:jc w:val="center"/>
        <w:rPr>
          <w:rFonts w:ascii="Arial New Bash" w:eastAsia="Times New Roman" w:hAnsi="Arial New Bash" w:cs="Times New Roman"/>
          <w:sz w:val="16"/>
          <w:szCs w:val="16"/>
          <w:lang w:eastAsia="ru-RU"/>
        </w:rPr>
      </w:pPr>
      <w:r w:rsidRPr="00856A51">
        <w:rPr>
          <w:rFonts w:ascii="Arial New Bash" w:eastAsia="Times New Roman" w:hAnsi="Arial New Bash" w:cs="Times New Roman"/>
          <w:sz w:val="16"/>
          <w:szCs w:val="16"/>
          <w:lang w:eastAsia="ru-RU"/>
        </w:rPr>
        <w:t xml:space="preserve">453411, </w:t>
      </w:r>
      <w:proofErr w:type="spellStart"/>
      <w:r w:rsidRPr="00856A51">
        <w:rPr>
          <w:rFonts w:ascii="Arial New Bash" w:eastAsia="Times New Roman" w:hAnsi="Arial New Bash" w:cs="Times New Roman"/>
          <w:sz w:val="16"/>
          <w:szCs w:val="16"/>
          <w:lang w:eastAsia="ru-RU"/>
        </w:rPr>
        <w:t>Д</w:t>
      </w:r>
      <w:r w:rsidRPr="00856A51">
        <w:rPr>
          <w:rFonts w:ascii="Arial" w:eastAsia="Times New Roman" w:hAnsi="Arial" w:cs="Arial"/>
          <w:sz w:val="16"/>
          <w:szCs w:val="16"/>
          <w:lang w:eastAsia="ru-RU"/>
        </w:rPr>
        <w:t>əүлəкəн</w:t>
      </w:r>
      <w:proofErr w:type="spellEnd"/>
      <w:r w:rsidRPr="00856A51">
        <w:rPr>
          <w:rFonts w:ascii="Arial New Bash" w:eastAsia="Times New Roman" w:hAnsi="Arial New Bash" w:cs="Times New Roman"/>
          <w:sz w:val="16"/>
          <w:szCs w:val="16"/>
          <w:lang w:eastAsia="ru-RU"/>
        </w:rPr>
        <w:t xml:space="preserve"> районы, </w:t>
      </w:r>
    </w:p>
    <w:p w:rsidR="00856A51" w:rsidRPr="00856A51" w:rsidRDefault="00856A51" w:rsidP="00856A51">
      <w:pPr>
        <w:spacing w:after="0" w:line="240" w:lineRule="auto"/>
        <w:jc w:val="center"/>
        <w:rPr>
          <w:rFonts w:ascii="Arial" w:eastAsia="Times New Roman" w:hAnsi="Arial" w:cs="Arial"/>
          <w:sz w:val="16"/>
          <w:szCs w:val="16"/>
          <w:lang w:eastAsia="ru-RU"/>
        </w:rPr>
      </w:pPr>
      <w:r w:rsidRPr="00856A51">
        <w:rPr>
          <w:rFonts w:ascii="Arial" w:eastAsia="Times New Roman" w:hAnsi="Arial" w:cs="Arial"/>
          <w:sz w:val="16"/>
          <w:szCs w:val="16"/>
          <w:lang w:eastAsia="ru-RU"/>
        </w:rPr>
        <w:t>Ивановка</w:t>
      </w:r>
      <w:r w:rsidRPr="00856A51">
        <w:rPr>
          <w:rFonts w:ascii="Arial New Bash" w:eastAsia="Times New Roman" w:hAnsi="Arial New Bash" w:cs="Times New Roman"/>
          <w:sz w:val="16"/>
          <w:szCs w:val="16"/>
          <w:lang w:eastAsia="ru-RU"/>
        </w:rPr>
        <w:t xml:space="preserve"> </w:t>
      </w:r>
      <w:proofErr w:type="spellStart"/>
      <w:r w:rsidRPr="00856A51">
        <w:rPr>
          <w:rFonts w:ascii="Arial New Bash" w:eastAsia="Times New Roman" w:hAnsi="Arial New Bash" w:cs="Times New Roman"/>
          <w:sz w:val="16"/>
          <w:szCs w:val="16"/>
          <w:lang w:eastAsia="ru-RU"/>
        </w:rPr>
        <w:t>ауылы</w:t>
      </w:r>
      <w:proofErr w:type="spellEnd"/>
      <w:r w:rsidRPr="00856A51">
        <w:rPr>
          <w:rFonts w:ascii="Arial New Bash" w:eastAsia="Times New Roman" w:hAnsi="Arial New Bash" w:cs="Times New Roman"/>
          <w:sz w:val="16"/>
          <w:szCs w:val="16"/>
          <w:lang w:eastAsia="ru-RU"/>
        </w:rPr>
        <w:t xml:space="preserve">, </w:t>
      </w:r>
      <w:r w:rsidRPr="00856A51">
        <w:rPr>
          <w:rFonts w:ascii="Arial" w:eastAsia="Times New Roman" w:hAnsi="Arial" w:cs="Arial"/>
          <w:sz w:val="16"/>
          <w:szCs w:val="16"/>
          <w:lang w:eastAsia="ru-RU"/>
        </w:rPr>
        <w:t>Гаршин</w:t>
      </w:r>
      <w:r w:rsidRPr="00856A51">
        <w:rPr>
          <w:rFonts w:ascii="Arial New Bash" w:eastAsia="Times New Roman" w:hAnsi="Arial New Bash" w:cs="Times New Roman"/>
          <w:sz w:val="16"/>
          <w:szCs w:val="16"/>
          <w:lang w:eastAsia="ru-RU"/>
        </w:rPr>
        <w:t xml:space="preserve"> </w:t>
      </w:r>
      <w:proofErr w:type="spellStart"/>
      <w:r w:rsidRPr="00856A51">
        <w:rPr>
          <w:rFonts w:ascii="Arial New Bash" w:eastAsia="Times New Roman" w:hAnsi="Arial New Bash" w:cs="Times New Roman"/>
          <w:sz w:val="16"/>
          <w:szCs w:val="16"/>
          <w:lang w:eastAsia="ru-RU"/>
        </w:rPr>
        <w:t>урамы</w:t>
      </w:r>
      <w:proofErr w:type="spellEnd"/>
      <w:r w:rsidRPr="00856A51">
        <w:rPr>
          <w:rFonts w:ascii="Arial New Bash" w:eastAsia="Times New Roman" w:hAnsi="Arial New Bash" w:cs="Times New Roman"/>
          <w:sz w:val="16"/>
          <w:szCs w:val="16"/>
          <w:lang w:eastAsia="ru-RU"/>
        </w:rPr>
        <w:t>, 79,</w:t>
      </w:r>
      <w:r w:rsidRPr="00856A51">
        <w:rPr>
          <w:rFonts w:ascii="Arial" w:eastAsia="Times New Roman" w:hAnsi="Arial" w:cs="Arial"/>
          <w:sz w:val="16"/>
          <w:szCs w:val="16"/>
          <w:lang w:eastAsia="ru-RU"/>
        </w:rPr>
        <w:t xml:space="preserve"> </w:t>
      </w:r>
    </w:p>
    <w:p w:rsidR="00856A51" w:rsidRPr="00856A51" w:rsidRDefault="00856A51" w:rsidP="00856A51">
      <w:pPr>
        <w:spacing w:after="0" w:line="240" w:lineRule="auto"/>
        <w:jc w:val="center"/>
        <w:rPr>
          <w:rFonts w:ascii="Arial" w:eastAsia="Times New Roman" w:hAnsi="Arial" w:cs="Arial"/>
          <w:sz w:val="16"/>
          <w:szCs w:val="16"/>
          <w:lang w:eastAsia="ru-RU"/>
        </w:rPr>
      </w:pPr>
      <w:r w:rsidRPr="00856A51">
        <w:rPr>
          <w:rFonts w:ascii="Arial" w:eastAsia="Times New Roman" w:hAnsi="Arial" w:cs="Arial"/>
          <w:sz w:val="16"/>
          <w:szCs w:val="16"/>
          <w:lang w:eastAsia="ru-RU"/>
        </w:rPr>
        <w:t>тел./факс (34768) 3-75-42,</w:t>
      </w:r>
    </w:p>
    <w:p w:rsidR="00856A51" w:rsidRPr="00856A51" w:rsidRDefault="00856A51" w:rsidP="00856A51">
      <w:pPr>
        <w:spacing w:after="0" w:line="200" w:lineRule="atLeast"/>
        <w:ind w:left="-142"/>
        <w:jc w:val="center"/>
        <w:rPr>
          <w:rFonts w:ascii="Arial New Bash" w:eastAsia="Times New Roman" w:hAnsi="Arial New Bash" w:cs="Times New Roman"/>
          <w:sz w:val="16"/>
          <w:szCs w:val="16"/>
          <w:lang w:eastAsia="ru-RU"/>
        </w:rPr>
      </w:pPr>
      <w:r w:rsidRPr="00856A51">
        <w:rPr>
          <w:rFonts w:ascii="Peterburg" w:eastAsia="Times New Roman" w:hAnsi="Peterburg" w:cs="Times New Roman"/>
          <w:sz w:val="16"/>
          <w:szCs w:val="16"/>
          <w:lang w:val="en-US" w:eastAsia="ru-RU"/>
        </w:rPr>
        <w:t>e</w:t>
      </w:r>
      <w:r w:rsidRPr="00856A51">
        <w:rPr>
          <w:rFonts w:ascii="Peterburg" w:eastAsia="Times New Roman" w:hAnsi="Peterburg" w:cs="Times New Roman"/>
          <w:sz w:val="16"/>
          <w:szCs w:val="16"/>
          <w:lang w:eastAsia="ru-RU"/>
        </w:rPr>
        <w:t>-</w:t>
      </w:r>
      <w:r w:rsidRPr="00856A51">
        <w:rPr>
          <w:rFonts w:ascii="Peterburg" w:eastAsia="Times New Roman" w:hAnsi="Peterburg" w:cs="Times New Roman"/>
          <w:sz w:val="16"/>
          <w:szCs w:val="16"/>
          <w:lang w:val="en-US" w:eastAsia="ru-RU"/>
        </w:rPr>
        <w:t>mail</w:t>
      </w:r>
      <w:r w:rsidRPr="00856A51">
        <w:rPr>
          <w:rFonts w:ascii="Peterburg" w:eastAsia="Times New Roman" w:hAnsi="Peterburg" w:cs="Times New Roman"/>
          <w:sz w:val="16"/>
          <w:szCs w:val="16"/>
          <w:lang w:eastAsia="ru-RU"/>
        </w:rPr>
        <w:t>:</w:t>
      </w:r>
      <w:r w:rsidRPr="00856A51">
        <w:rPr>
          <w:rFonts w:ascii="Calibri" w:eastAsia="Times New Roman" w:hAnsi="Calibri" w:cs="Times New Roman"/>
          <w:sz w:val="16"/>
          <w:szCs w:val="16"/>
          <w:lang w:eastAsia="ru-RU"/>
        </w:rPr>
        <w:t xml:space="preserve"> </w:t>
      </w:r>
      <w:proofErr w:type="spellStart"/>
      <w:r w:rsidRPr="00856A51">
        <w:rPr>
          <w:rFonts w:ascii="Calibri" w:eastAsia="Times New Roman" w:hAnsi="Calibri" w:cs="Times New Roman"/>
          <w:sz w:val="16"/>
          <w:szCs w:val="16"/>
          <w:lang w:val="en-US" w:eastAsia="ru-RU"/>
        </w:rPr>
        <w:t>ivanovka</w:t>
      </w:r>
      <w:proofErr w:type="spellEnd"/>
      <w:r w:rsidRPr="00856A51">
        <w:rPr>
          <w:rFonts w:ascii="Calibri" w:eastAsia="Times New Roman" w:hAnsi="Calibri" w:cs="Times New Roman"/>
          <w:sz w:val="16"/>
          <w:szCs w:val="16"/>
          <w:lang w:eastAsia="ru-RU"/>
        </w:rPr>
        <w:t>_</w:t>
      </w:r>
      <w:proofErr w:type="spellStart"/>
      <w:r w:rsidRPr="00856A51">
        <w:rPr>
          <w:rFonts w:ascii="Calibri" w:eastAsia="Times New Roman" w:hAnsi="Calibri" w:cs="Times New Roman"/>
          <w:sz w:val="16"/>
          <w:szCs w:val="16"/>
          <w:lang w:val="en-US" w:eastAsia="ru-RU"/>
        </w:rPr>
        <w:t>davl</w:t>
      </w:r>
      <w:proofErr w:type="spellEnd"/>
      <w:r w:rsidRPr="00856A51">
        <w:rPr>
          <w:rFonts w:ascii="Calibri" w:eastAsia="Times New Roman" w:hAnsi="Calibri" w:cs="Times New Roman"/>
          <w:sz w:val="16"/>
          <w:szCs w:val="16"/>
          <w:lang w:eastAsia="ru-RU"/>
        </w:rPr>
        <w:t>@</w:t>
      </w:r>
      <w:proofErr w:type="spellStart"/>
      <w:r w:rsidRPr="00856A51">
        <w:rPr>
          <w:rFonts w:ascii="Calibri" w:eastAsia="Times New Roman" w:hAnsi="Calibri" w:cs="Times New Roman"/>
          <w:sz w:val="16"/>
          <w:szCs w:val="16"/>
          <w:lang w:val="en-US" w:eastAsia="ru-RU"/>
        </w:rPr>
        <w:t>ufamts</w:t>
      </w:r>
      <w:proofErr w:type="spellEnd"/>
      <w:r w:rsidRPr="00856A51">
        <w:rPr>
          <w:rFonts w:ascii="Calibri" w:eastAsia="Times New Roman" w:hAnsi="Calibri" w:cs="Times New Roman"/>
          <w:sz w:val="16"/>
          <w:szCs w:val="16"/>
          <w:lang w:eastAsia="ru-RU"/>
        </w:rPr>
        <w:t>.</w:t>
      </w:r>
      <w:proofErr w:type="spellStart"/>
      <w:r w:rsidRPr="00856A51">
        <w:rPr>
          <w:rFonts w:ascii="Calibri" w:eastAsia="Times New Roman" w:hAnsi="Calibri" w:cs="Times New Roman"/>
          <w:sz w:val="16"/>
          <w:szCs w:val="16"/>
          <w:lang w:val="en-US" w:eastAsia="ru-RU"/>
        </w:rPr>
        <w:t>ru</w:t>
      </w:r>
      <w:proofErr w:type="spellEnd"/>
    </w:p>
    <w:p w:rsidR="00856A51" w:rsidRPr="00856A51" w:rsidRDefault="00856A51" w:rsidP="00856A51">
      <w:pPr>
        <w:spacing w:after="0" w:line="200" w:lineRule="atLeast"/>
        <w:jc w:val="center"/>
        <w:rPr>
          <w:rFonts w:ascii="Arial New Bash" w:eastAsia="Times New Roman" w:hAnsi="Arial New Bash" w:cs="Times New Roman"/>
          <w:sz w:val="24"/>
          <w:szCs w:val="24"/>
          <w:lang w:eastAsia="ru-RU"/>
        </w:rPr>
      </w:pP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sidRPr="00856A51">
        <w:rPr>
          <w:rFonts w:ascii="Arial New Bash" w:eastAsia="Times New Roman" w:hAnsi="Arial New Bash" w:cs="Times New Roman"/>
          <w:sz w:val="20"/>
          <w:szCs w:val="20"/>
          <w:lang w:eastAsia="ru-RU"/>
        </w:rPr>
        <w:lastRenderedPageBreak/>
        <w:t>Администрация</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sidRPr="00856A51">
        <w:rPr>
          <w:rFonts w:ascii="Arial New Bash" w:eastAsia="Times New Roman" w:hAnsi="Arial New Bash" w:cs="Times New Roman"/>
          <w:sz w:val="20"/>
          <w:szCs w:val="20"/>
          <w:lang w:eastAsia="ru-RU"/>
        </w:rPr>
        <w:t xml:space="preserve">сельского поселения </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sidRPr="00856A51">
        <w:rPr>
          <w:rFonts w:ascii="Arial New Bash" w:eastAsia="Times New Roman" w:hAnsi="Arial New Bash" w:cs="Times New Roman"/>
          <w:sz w:val="20"/>
          <w:szCs w:val="20"/>
          <w:lang w:eastAsia="ru-RU"/>
        </w:rPr>
        <w:t>Ивановский сельсовет</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sidRPr="00856A51">
        <w:rPr>
          <w:rFonts w:ascii="Arial New Bash" w:eastAsia="Times New Roman" w:hAnsi="Arial New Bash" w:cs="Times New Roman"/>
          <w:sz w:val="20"/>
          <w:szCs w:val="20"/>
          <w:lang w:eastAsia="ru-RU"/>
        </w:rPr>
        <w:t>муниципального района</w:t>
      </w:r>
    </w:p>
    <w:p w:rsidR="00856A51" w:rsidRPr="00856A51" w:rsidRDefault="00856A51" w:rsidP="00856A51">
      <w:pPr>
        <w:spacing w:after="0" w:line="200" w:lineRule="atLeast"/>
        <w:jc w:val="center"/>
        <w:rPr>
          <w:rFonts w:ascii="Arial New Bash" w:eastAsia="Times New Roman" w:hAnsi="Arial New Bash" w:cs="Times New Roman"/>
          <w:sz w:val="20"/>
          <w:szCs w:val="20"/>
          <w:lang w:eastAsia="ru-RU"/>
        </w:rPr>
      </w:pPr>
      <w:r w:rsidRPr="00856A51">
        <w:rPr>
          <w:rFonts w:ascii="Arial New Bash" w:eastAsia="Times New Roman" w:hAnsi="Arial New Bash" w:cs="Times New Roman"/>
          <w:sz w:val="20"/>
          <w:szCs w:val="20"/>
          <w:lang w:eastAsia="ru-RU"/>
        </w:rPr>
        <w:t>Давлекановский район</w:t>
      </w:r>
    </w:p>
    <w:p w:rsidR="00856A51" w:rsidRPr="00856A51" w:rsidRDefault="00856A51" w:rsidP="00856A51">
      <w:pPr>
        <w:keepNext/>
        <w:spacing w:after="0" w:line="240" w:lineRule="auto"/>
        <w:jc w:val="center"/>
        <w:outlineLvl w:val="0"/>
        <w:rPr>
          <w:rFonts w:ascii="Arial New Bash" w:eastAsia="Times New Roman" w:hAnsi="Arial New Bash" w:cs="Times New Roman"/>
          <w:bCs/>
          <w:sz w:val="20"/>
          <w:szCs w:val="20"/>
          <w:lang w:eastAsia="ru-RU"/>
        </w:rPr>
      </w:pPr>
      <w:r w:rsidRPr="00856A51">
        <w:rPr>
          <w:rFonts w:ascii="Arial New Bash" w:eastAsia="Times New Roman" w:hAnsi="Arial New Bash" w:cs="Times New Roman"/>
          <w:bCs/>
          <w:sz w:val="20"/>
          <w:szCs w:val="20"/>
          <w:lang w:eastAsia="ru-RU"/>
        </w:rPr>
        <w:t>Республики Башкортостан</w:t>
      </w:r>
    </w:p>
    <w:p w:rsidR="00856A51" w:rsidRPr="00856A51" w:rsidRDefault="00856A51" w:rsidP="00856A51">
      <w:pPr>
        <w:spacing w:after="0" w:line="240" w:lineRule="auto"/>
        <w:jc w:val="right"/>
        <w:rPr>
          <w:rFonts w:ascii="Arial New Bash" w:eastAsia="Times New Roman" w:hAnsi="Arial New Bash" w:cs="Times New Roman"/>
          <w:sz w:val="16"/>
          <w:szCs w:val="20"/>
          <w:lang w:eastAsia="ru-RU"/>
        </w:rPr>
      </w:pPr>
    </w:p>
    <w:p w:rsidR="00856A51" w:rsidRPr="00856A51" w:rsidRDefault="00856A51" w:rsidP="00856A51">
      <w:pPr>
        <w:spacing w:after="0" w:line="240" w:lineRule="auto"/>
        <w:jc w:val="center"/>
        <w:rPr>
          <w:rFonts w:ascii="Arial New Bash" w:eastAsia="Times New Roman" w:hAnsi="Arial New Bash" w:cs="Times New Roman"/>
          <w:sz w:val="16"/>
          <w:szCs w:val="20"/>
          <w:lang w:eastAsia="ru-RU"/>
        </w:rPr>
      </w:pPr>
    </w:p>
    <w:p w:rsidR="00856A51" w:rsidRPr="00856A51" w:rsidRDefault="00856A51" w:rsidP="00856A51">
      <w:pPr>
        <w:spacing w:after="0" w:line="240" w:lineRule="auto"/>
        <w:ind w:left="-284"/>
        <w:jc w:val="center"/>
        <w:rPr>
          <w:rFonts w:ascii="Arial New Bash" w:eastAsia="Times New Roman" w:hAnsi="Arial New Bash" w:cs="Times New Roman"/>
          <w:sz w:val="16"/>
          <w:szCs w:val="16"/>
          <w:lang w:eastAsia="ru-RU"/>
        </w:rPr>
      </w:pPr>
      <w:r w:rsidRPr="00856A51">
        <w:rPr>
          <w:rFonts w:ascii="Arial New Bash" w:eastAsia="Times New Roman" w:hAnsi="Arial New Bash" w:cs="Times New Roman"/>
          <w:sz w:val="16"/>
          <w:szCs w:val="16"/>
          <w:lang w:eastAsia="ru-RU"/>
        </w:rPr>
        <w:t xml:space="preserve">453411, Давлекановский район, </w:t>
      </w:r>
    </w:p>
    <w:p w:rsidR="00856A51" w:rsidRPr="00856A51" w:rsidRDefault="00856A51" w:rsidP="00856A51">
      <w:pPr>
        <w:spacing w:after="0" w:line="240" w:lineRule="auto"/>
        <w:ind w:left="-284"/>
        <w:jc w:val="center"/>
        <w:rPr>
          <w:rFonts w:ascii="Arial New Bash" w:eastAsia="Times New Roman" w:hAnsi="Arial New Bash" w:cs="Times New Roman"/>
          <w:sz w:val="16"/>
          <w:szCs w:val="16"/>
          <w:lang w:eastAsia="ru-RU"/>
        </w:rPr>
      </w:pPr>
      <w:proofErr w:type="spellStart"/>
      <w:r w:rsidRPr="00856A51">
        <w:rPr>
          <w:rFonts w:ascii="Arial New Bash" w:eastAsia="Times New Roman" w:hAnsi="Arial New Bash" w:cs="Times New Roman"/>
          <w:sz w:val="16"/>
          <w:szCs w:val="16"/>
          <w:lang w:eastAsia="ru-RU"/>
        </w:rPr>
        <w:t>с.Ивановка</w:t>
      </w:r>
      <w:proofErr w:type="spellEnd"/>
      <w:r w:rsidRPr="00856A51">
        <w:rPr>
          <w:rFonts w:ascii="Arial New Bash" w:eastAsia="Times New Roman" w:hAnsi="Arial New Bash" w:cs="Times New Roman"/>
          <w:sz w:val="16"/>
          <w:szCs w:val="16"/>
          <w:lang w:eastAsia="ru-RU"/>
        </w:rPr>
        <w:t>, ул. Гаршина,79,</w:t>
      </w:r>
    </w:p>
    <w:p w:rsidR="00856A51" w:rsidRPr="00856A51" w:rsidRDefault="00856A51" w:rsidP="00856A51">
      <w:pPr>
        <w:spacing w:after="0" w:line="240" w:lineRule="auto"/>
        <w:jc w:val="center"/>
        <w:rPr>
          <w:rFonts w:ascii="Arial" w:eastAsia="Times New Roman" w:hAnsi="Arial" w:cs="Arial"/>
          <w:sz w:val="16"/>
          <w:szCs w:val="16"/>
          <w:lang w:eastAsia="ru-RU"/>
        </w:rPr>
      </w:pPr>
      <w:r w:rsidRPr="00856A51">
        <w:rPr>
          <w:rFonts w:ascii="Arial" w:eastAsia="Times New Roman" w:hAnsi="Arial" w:cs="Arial"/>
          <w:sz w:val="16"/>
          <w:szCs w:val="16"/>
          <w:lang w:eastAsia="ru-RU"/>
        </w:rPr>
        <w:t>тел./факс (34768) 3-75-42,</w:t>
      </w:r>
    </w:p>
    <w:p w:rsidR="00856A51" w:rsidRPr="00856A51" w:rsidRDefault="00856A51" w:rsidP="00856A51">
      <w:pPr>
        <w:spacing w:after="0" w:line="240" w:lineRule="auto"/>
        <w:ind w:left="-284"/>
        <w:jc w:val="center"/>
        <w:rPr>
          <w:rFonts w:ascii="Calibri" w:eastAsia="Times New Roman" w:hAnsi="Calibri" w:cs="Times New Roman"/>
          <w:sz w:val="16"/>
          <w:szCs w:val="16"/>
          <w:lang w:eastAsia="ru-RU"/>
        </w:rPr>
        <w:sectPr w:rsidR="00856A51" w:rsidRPr="00856A51" w:rsidSect="00856A51">
          <w:pgSz w:w="11907" w:h="16840" w:code="9"/>
          <w:pgMar w:top="454" w:right="567" w:bottom="454" w:left="1701" w:header="720" w:footer="720" w:gutter="0"/>
          <w:cols w:num="2" w:space="2267"/>
        </w:sectPr>
      </w:pPr>
      <w:r w:rsidRPr="00856A51">
        <w:rPr>
          <w:rFonts w:ascii="Peterburg" w:eastAsia="Times New Roman" w:hAnsi="Peterburg" w:cs="Times New Roman"/>
          <w:sz w:val="16"/>
          <w:szCs w:val="16"/>
          <w:lang w:val="en-US" w:eastAsia="ru-RU"/>
        </w:rPr>
        <w:t>e</w:t>
      </w:r>
      <w:r w:rsidRPr="00856A51">
        <w:rPr>
          <w:rFonts w:ascii="Peterburg" w:eastAsia="Times New Roman" w:hAnsi="Peterburg" w:cs="Times New Roman"/>
          <w:sz w:val="16"/>
          <w:szCs w:val="16"/>
          <w:lang w:eastAsia="ru-RU"/>
        </w:rPr>
        <w:t>-</w:t>
      </w:r>
      <w:r w:rsidRPr="00856A51">
        <w:rPr>
          <w:rFonts w:ascii="Peterburg" w:eastAsia="Times New Roman" w:hAnsi="Peterburg" w:cs="Times New Roman"/>
          <w:sz w:val="16"/>
          <w:szCs w:val="16"/>
          <w:lang w:val="en-US" w:eastAsia="ru-RU"/>
        </w:rPr>
        <w:t>mail</w:t>
      </w:r>
      <w:r w:rsidRPr="00856A51">
        <w:rPr>
          <w:rFonts w:ascii="Peterburg" w:eastAsia="Times New Roman" w:hAnsi="Peterburg" w:cs="Times New Roman"/>
          <w:sz w:val="16"/>
          <w:szCs w:val="16"/>
          <w:lang w:eastAsia="ru-RU"/>
        </w:rPr>
        <w:t>:</w:t>
      </w:r>
      <w:r w:rsidRPr="00856A51">
        <w:rPr>
          <w:rFonts w:ascii="Calibri" w:eastAsia="Times New Roman" w:hAnsi="Calibri" w:cs="Times New Roman"/>
          <w:sz w:val="16"/>
          <w:szCs w:val="16"/>
          <w:lang w:eastAsia="ru-RU"/>
        </w:rPr>
        <w:t xml:space="preserve"> </w:t>
      </w:r>
      <w:proofErr w:type="spellStart"/>
      <w:r w:rsidRPr="00856A51">
        <w:rPr>
          <w:rFonts w:ascii="Calibri" w:eastAsia="Times New Roman" w:hAnsi="Calibri" w:cs="Times New Roman"/>
          <w:sz w:val="16"/>
          <w:szCs w:val="16"/>
          <w:lang w:val="en-US" w:eastAsia="ru-RU"/>
        </w:rPr>
        <w:t>ivanovka</w:t>
      </w:r>
      <w:proofErr w:type="spellEnd"/>
      <w:r w:rsidRPr="00856A51">
        <w:rPr>
          <w:rFonts w:ascii="Calibri" w:eastAsia="Times New Roman" w:hAnsi="Calibri" w:cs="Times New Roman"/>
          <w:sz w:val="16"/>
          <w:szCs w:val="16"/>
          <w:lang w:eastAsia="ru-RU"/>
        </w:rPr>
        <w:t>_</w:t>
      </w:r>
      <w:proofErr w:type="spellStart"/>
      <w:r w:rsidRPr="00856A51">
        <w:rPr>
          <w:rFonts w:ascii="Calibri" w:eastAsia="Times New Roman" w:hAnsi="Calibri" w:cs="Times New Roman"/>
          <w:sz w:val="16"/>
          <w:szCs w:val="16"/>
          <w:lang w:val="en-US" w:eastAsia="ru-RU"/>
        </w:rPr>
        <w:t>davl</w:t>
      </w:r>
      <w:proofErr w:type="spellEnd"/>
      <w:r w:rsidRPr="00856A51">
        <w:rPr>
          <w:rFonts w:ascii="Calibri" w:eastAsia="Times New Roman" w:hAnsi="Calibri" w:cs="Times New Roman"/>
          <w:sz w:val="16"/>
          <w:szCs w:val="16"/>
          <w:lang w:eastAsia="ru-RU"/>
        </w:rPr>
        <w:t>@</w:t>
      </w:r>
      <w:proofErr w:type="spellStart"/>
      <w:r w:rsidRPr="00856A51">
        <w:rPr>
          <w:rFonts w:ascii="Calibri" w:eastAsia="Times New Roman" w:hAnsi="Calibri" w:cs="Times New Roman"/>
          <w:sz w:val="16"/>
          <w:szCs w:val="16"/>
          <w:lang w:val="en-US" w:eastAsia="ru-RU"/>
        </w:rPr>
        <w:t>ufamts</w:t>
      </w:r>
      <w:proofErr w:type="spellEnd"/>
      <w:r w:rsidRPr="00856A51">
        <w:rPr>
          <w:rFonts w:ascii="Calibri" w:eastAsia="Times New Roman" w:hAnsi="Calibri" w:cs="Times New Roman"/>
          <w:sz w:val="16"/>
          <w:szCs w:val="16"/>
          <w:lang w:eastAsia="ru-RU"/>
        </w:rPr>
        <w:t>.</w:t>
      </w:r>
      <w:proofErr w:type="spellStart"/>
      <w:r w:rsidRPr="00856A51">
        <w:rPr>
          <w:rFonts w:ascii="Calibri" w:eastAsia="Times New Roman" w:hAnsi="Calibri" w:cs="Times New Roman"/>
          <w:sz w:val="16"/>
          <w:szCs w:val="16"/>
          <w:lang w:val="en-US" w:eastAsia="ru-RU"/>
        </w:rPr>
        <w:t>ru</w:t>
      </w:r>
      <w:proofErr w:type="spellEnd"/>
    </w:p>
    <w:p w:rsidR="00856A51" w:rsidRDefault="00856A51" w:rsidP="00856A51">
      <w:pPr>
        <w:spacing w:after="0" w:line="240" w:lineRule="auto"/>
        <w:rPr>
          <w:rFonts w:ascii="Times New Roman" w:eastAsia="Times New Roman" w:hAnsi="Times New Roman" w:cs="Times New Roman"/>
          <w:sz w:val="16"/>
          <w:szCs w:val="20"/>
          <w:lang w:val="be-BY" w:eastAsia="ru-RU"/>
        </w:rPr>
      </w:pPr>
      <w:r w:rsidRPr="00856A51">
        <w:rPr>
          <w:rFonts w:ascii="Times New Roman" w:eastAsia="Times New Roman" w:hAnsi="Times New Roman" w:cs="Times New Roman"/>
          <w:sz w:val="16"/>
          <w:szCs w:val="20"/>
          <w:lang w:val="be-BY" w:eastAsia="ru-RU"/>
        </w:rPr>
        <w:lastRenderedPageBreak/>
        <w:t xml:space="preserve">         =========================================================================================================</w:t>
      </w:r>
    </w:p>
    <w:p w:rsidR="00856A51" w:rsidRDefault="00856A51" w:rsidP="00856A51">
      <w:pPr>
        <w:rPr>
          <w:rFonts w:ascii="Times New Roman" w:eastAsia="Times New Roman" w:hAnsi="Times New Roman" w:cs="Times New Roman"/>
          <w:sz w:val="16"/>
          <w:szCs w:val="20"/>
          <w:lang w:val="be-BY" w:eastAsia="ru-RU"/>
        </w:rPr>
      </w:pPr>
    </w:p>
    <w:p w:rsidR="00856A51" w:rsidRPr="00856A51" w:rsidRDefault="00856A51" w:rsidP="00856A51">
      <w:pPr>
        <w:spacing w:after="0" w:line="240" w:lineRule="auto"/>
        <w:ind w:right="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16"/>
          <w:szCs w:val="20"/>
          <w:lang w:val="be-BY" w:eastAsia="ru-RU"/>
        </w:rPr>
        <w:tab/>
      </w:r>
      <w:r w:rsidRPr="00856A51">
        <w:rPr>
          <w:rFonts w:ascii="Times New Roman" w:eastAsia="Times New Roman" w:hAnsi="Times New Roman" w:cs="Times New Roman"/>
          <w:sz w:val="28"/>
          <w:szCs w:val="28"/>
          <w:lang w:eastAsia="ru-RU"/>
        </w:rPr>
        <w:t xml:space="preserve">  </w:t>
      </w:r>
      <w:r w:rsidRPr="00856A51">
        <w:rPr>
          <w:rFonts w:ascii="Times New Roman" w:eastAsia="Times New Roman" w:hAnsi="Times New Roman" w:cs="Times New Roman"/>
          <w:b/>
          <w:sz w:val="28"/>
          <w:szCs w:val="28"/>
          <w:lang w:eastAsia="ru-RU"/>
        </w:rPr>
        <w:t xml:space="preserve"> ҠАРАР</w:t>
      </w:r>
      <w:r w:rsidRPr="00856A51">
        <w:rPr>
          <w:rFonts w:ascii="Times New Roman" w:eastAsia="Times New Roman" w:hAnsi="Times New Roman" w:cs="Times New Roman"/>
          <w:b/>
          <w:sz w:val="28"/>
          <w:szCs w:val="28"/>
          <w:lang w:eastAsia="ru-RU"/>
        </w:rPr>
        <w:tab/>
      </w:r>
      <w:r w:rsidRPr="00856A51">
        <w:rPr>
          <w:rFonts w:ascii="Times New Roman" w:eastAsia="Times New Roman" w:hAnsi="Times New Roman" w:cs="Times New Roman"/>
          <w:b/>
          <w:sz w:val="28"/>
          <w:szCs w:val="28"/>
          <w:lang w:eastAsia="ru-RU"/>
        </w:rPr>
        <w:tab/>
      </w:r>
      <w:r w:rsidRPr="00856A51">
        <w:rPr>
          <w:rFonts w:ascii="Times New Roman" w:eastAsia="Times New Roman" w:hAnsi="Times New Roman" w:cs="Times New Roman"/>
          <w:sz w:val="28"/>
          <w:szCs w:val="28"/>
          <w:lang w:eastAsia="ru-RU"/>
        </w:rPr>
        <w:tab/>
        <w:t xml:space="preserve">  </w:t>
      </w:r>
      <w:r w:rsidRPr="00856A51">
        <w:rPr>
          <w:rFonts w:ascii="Times New Roman" w:eastAsia="Times New Roman" w:hAnsi="Times New Roman" w:cs="Times New Roman"/>
          <w:sz w:val="28"/>
          <w:szCs w:val="28"/>
          <w:lang w:eastAsia="ru-RU"/>
        </w:rPr>
        <w:tab/>
      </w:r>
      <w:r w:rsidRPr="00856A5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37</w:t>
      </w:r>
      <w:r w:rsidRPr="00856A51">
        <w:rPr>
          <w:rFonts w:ascii="Times New Roman" w:eastAsia="Times New Roman" w:hAnsi="Times New Roman" w:cs="Times New Roman"/>
          <w:sz w:val="28"/>
          <w:szCs w:val="28"/>
          <w:lang w:eastAsia="ru-RU"/>
        </w:rPr>
        <w:t xml:space="preserve">                        </w:t>
      </w:r>
      <w:r w:rsidRPr="00856A51">
        <w:rPr>
          <w:rFonts w:ascii="Times New Roman" w:eastAsia="Times New Roman" w:hAnsi="Times New Roman" w:cs="Times New Roman"/>
          <w:b/>
          <w:sz w:val="28"/>
          <w:szCs w:val="28"/>
          <w:lang w:eastAsia="ru-RU"/>
        </w:rPr>
        <w:t>ПОСТАНОВЛЕНИЕ</w:t>
      </w:r>
    </w:p>
    <w:p w:rsidR="00856A51" w:rsidRPr="00856A51" w:rsidRDefault="00856A51" w:rsidP="00856A51">
      <w:pPr>
        <w:spacing w:after="0" w:line="240" w:lineRule="auto"/>
        <w:ind w:right="283"/>
        <w:jc w:val="both"/>
        <w:rPr>
          <w:rFonts w:ascii="Times New Roman" w:eastAsia="Times New Roman" w:hAnsi="Times New Roman" w:cs="Times New Roman"/>
          <w:sz w:val="28"/>
          <w:szCs w:val="28"/>
          <w:lang w:eastAsia="ru-RU"/>
        </w:rPr>
      </w:pPr>
    </w:p>
    <w:p w:rsidR="00856A51" w:rsidRPr="00856A51" w:rsidRDefault="00856A51" w:rsidP="00856A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май</w:t>
      </w:r>
      <w:r w:rsidRPr="00856A51">
        <w:rPr>
          <w:rFonts w:ascii="Times New Roman" w:eastAsia="Times New Roman" w:hAnsi="Times New Roman" w:cs="Times New Roman"/>
          <w:sz w:val="28"/>
          <w:szCs w:val="28"/>
          <w:lang w:eastAsia="ru-RU"/>
        </w:rPr>
        <w:t xml:space="preserve">  2022 й                                                        </w:t>
      </w:r>
      <w:r>
        <w:rPr>
          <w:rFonts w:ascii="Times New Roman" w:eastAsia="Times New Roman" w:hAnsi="Times New Roman" w:cs="Times New Roman"/>
          <w:sz w:val="28"/>
          <w:szCs w:val="28"/>
          <w:lang w:eastAsia="ru-RU"/>
        </w:rPr>
        <w:t>3</w:t>
      </w:r>
      <w:r w:rsidRPr="00856A51">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м</w:t>
      </w:r>
      <w:r w:rsidRPr="00856A51">
        <w:rPr>
          <w:rFonts w:ascii="Times New Roman" w:eastAsia="Times New Roman" w:hAnsi="Times New Roman" w:cs="Times New Roman"/>
          <w:sz w:val="28"/>
          <w:szCs w:val="28"/>
          <w:lang w:eastAsia="ru-RU"/>
        </w:rPr>
        <w:t>ая  2022 года</w:t>
      </w:r>
    </w:p>
    <w:p w:rsidR="00856A51" w:rsidRPr="008A4E03" w:rsidRDefault="00856A51" w:rsidP="00856A5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856A51" w:rsidRPr="00BA0955" w:rsidRDefault="00856A51" w:rsidP="00856A5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Pr="00B6089C">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 в</w:t>
      </w:r>
      <w:r>
        <w:rPr>
          <w:rFonts w:ascii="Times New Roman" w:hAnsi="Times New Roman" w:cs="Times New Roman"/>
          <w:b/>
          <w:bCs/>
          <w:color w:val="000000" w:themeColor="text1"/>
          <w:sz w:val="28"/>
          <w:szCs w:val="28"/>
        </w:rPr>
        <w:t xml:space="preserve"> </w:t>
      </w:r>
      <w:r>
        <w:rPr>
          <w:rFonts w:ascii="Times New Roman" w:hAnsi="Times New Roman"/>
          <w:bCs/>
          <w:sz w:val="28"/>
          <w:szCs w:val="28"/>
        </w:rPr>
        <w:t xml:space="preserve">сельском поселении </w:t>
      </w:r>
      <w:r>
        <w:rPr>
          <w:rFonts w:ascii="Times New Roman" w:hAnsi="Times New Roman"/>
          <w:bCs/>
          <w:sz w:val="28"/>
          <w:szCs w:val="28"/>
        </w:rPr>
        <w:t>Ивановский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p>
    <w:p w:rsidR="00856A51" w:rsidRPr="006A2308" w:rsidRDefault="00856A51" w:rsidP="00856A5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856A51" w:rsidRPr="009A3962" w:rsidRDefault="00856A51" w:rsidP="00856A51">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color w:val="000000" w:themeColor="text1"/>
          <w:sz w:val="28"/>
          <w:szCs w:val="28"/>
        </w:rPr>
        <w:t>п о с т а н о в л я ю:</w:t>
      </w:r>
    </w:p>
    <w:p w:rsidR="00856A51" w:rsidRDefault="00856A51" w:rsidP="00856A5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Pr="00131F11">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w:t>
      </w:r>
      <w:r w:rsidRPr="00131F11">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Pr>
          <w:rFonts w:ascii="Times New Roman" w:hAnsi="Times New Roman"/>
          <w:bCs/>
          <w:sz w:val="28"/>
          <w:szCs w:val="28"/>
        </w:rPr>
        <w:t>Ивановский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Pr="008A4E03">
        <w:rPr>
          <w:rFonts w:ascii="Times New Roman" w:hAnsi="Times New Roman" w:cs="Times New Roman"/>
          <w:bCs/>
          <w:color w:val="000000" w:themeColor="text1"/>
          <w:sz w:val="28"/>
          <w:szCs w:val="28"/>
        </w:rPr>
        <w:t>(далее ‒ настоящий Административный регламент).</w:t>
      </w:r>
      <w:r>
        <w:rPr>
          <w:rFonts w:ascii="Times New Roman" w:hAnsi="Times New Roman" w:cs="Times New Roman"/>
          <w:bCs/>
          <w:color w:val="000000" w:themeColor="text1"/>
          <w:sz w:val="28"/>
          <w:szCs w:val="28"/>
        </w:rPr>
        <w:t xml:space="preserve"> </w:t>
      </w:r>
    </w:p>
    <w:p w:rsidR="00856A51" w:rsidRPr="006A649E" w:rsidRDefault="00856A51" w:rsidP="00856A51">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56A51" w:rsidRPr="006A649E" w:rsidRDefault="00856A51" w:rsidP="00856A51">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56A51" w:rsidRPr="006A649E" w:rsidRDefault="00856A51" w:rsidP="00856A51">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56A51" w:rsidRPr="008A4E03" w:rsidRDefault="00856A51" w:rsidP="00856A51">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56A51" w:rsidRDefault="00856A51" w:rsidP="00856A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856A51" w:rsidRDefault="00856A51" w:rsidP="00856A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сельского поселения</w:t>
      </w:r>
    </w:p>
    <w:p w:rsidR="00856A51" w:rsidRDefault="00856A51" w:rsidP="00856A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Ивановский</w:t>
      </w:r>
      <w:r>
        <w:rPr>
          <w:rFonts w:ascii="Times New Roman" w:hAnsi="Times New Roman" w:cs="Times New Roman"/>
          <w:color w:val="000000" w:themeColor="text1"/>
          <w:sz w:val="28"/>
          <w:szCs w:val="28"/>
        </w:rPr>
        <w:t xml:space="preserve"> сельсовет</w:t>
      </w:r>
    </w:p>
    <w:p w:rsidR="00856A51" w:rsidRPr="006A2308" w:rsidRDefault="00856A51" w:rsidP="00856A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В.И.Никульшин</w:t>
      </w:r>
      <w:proofErr w:type="spellEnd"/>
    </w:p>
    <w:p w:rsidR="00856A51" w:rsidRPr="006A2308" w:rsidRDefault="00856A51" w:rsidP="00856A51">
      <w:pPr>
        <w:spacing w:after="0" w:line="240" w:lineRule="auto"/>
        <w:ind w:firstLine="567"/>
        <w:jc w:val="both"/>
        <w:rPr>
          <w:rFonts w:ascii="Times New Roman" w:hAnsi="Times New Roman" w:cs="Times New Roman"/>
          <w:color w:val="000000" w:themeColor="text1"/>
          <w:sz w:val="28"/>
          <w:szCs w:val="28"/>
        </w:rPr>
      </w:pPr>
    </w:p>
    <w:p w:rsidR="00856A51" w:rsidRDefault="00856A51" w:rsidP="00856A51">
      <w:pPr>
        <w:spacing w:after="0" w:line="240" w:lineRule="auto"/>
        <w:rPr>
          <w:rFonts w:ascii="Times New Roman" w:hAnsi="Times New Roman" w:cs="Times New Roman"/>
          <w:color w:val="000000" w:themeColor="text1"/>
          <w:sz w:val="28"/>
          <w:szCs w:val="28"/>
        </w:rPr>
      </w:pPr>
    </w:p>
    <w:p w:rsidR="00856A51" w:rsidRDefault="00856A51" w:rsidP="00856A51">
      <w:pPr>
        <w:spacing w:after="0" w:line="240" w:lineRule="auto"/>
        <w:rPr>
          <w:rFonts w:ascii="Times New Roman" w:hAnsi="Times New Roman" w:cs="Times New Roman"/>
          <w:color w:val="000000" w:themeColor="text1"/>
          <w:sz w:val="28"/>
          <w:szCs w:val="28"/>
        </w:rPr>
      </w:pPr>
    </w:p>
    <w:p w:rsidR="00856A51" w:rsidRPr="00856A51" w:rsidRDefault="00856A51" w:rsidP="00856A51">
      <w:pPr>
        <w:tabs>
          <w:tab w:val="left" w:pos="1428"/>
        </w:tabs>
        <w:rPr>
          <w:rFonts w:ascii="Times New Roman" w:eastAsia="Times New Roman" w:hAnsi="Times New Roman" w:cs="Times New Roman"/>
          <w:sz w:val="16"/>
          <w:szCs w:val="20"/>
          <w:lang w:eastAsia="ru-RU"/>
        </w:rPr>
      </w:pPr>
    </w:p>
    <w:p w:rsidR="00856A51" w:rsidRDefault="00856A51" w:rsidP="00856A51">
      <w:pPr>
        <w:rPr>
          <w:rFonts w:ascii="Times New Roman" w:eastAsia="Times New Roman" w:hAnsi="Times New Roman" w:cs="Times New Roman"/>
          <w:sz w:val="16"/>
          <w:szCs w:val="20"/>
          <w:lang w:val="be-BY" w:eastAsia="ru-RU"/>
        </w:rPr>
      </w:pPr>
    </w:p>
    <w:p w:rsidR="00856A51" w:rsidRPr="00856A51" w:rsidRDefault="00856A51" w:rsidP="00856A51">
      <w:pPr>
        <w:rPr>
          <w:rFonts w:ascii="Times New Roman" w:eastAsia="Times New Roman" w:hAnsi="Times New Roman" w:cs="Times New Roman"/>
          <w:sz w:val="16"/>
          <w:szCs w:val="20"/>
          <w:lang w:val="be-BY" w:eastAsia="ru-RU"/>
        </w:rPr>
        <w:sectPr w:rsidR="00856A51" w:rsidRPr="00856A51">
          <w:type w:val="continuous"/>
          <w:pgSz w:w="11907" w:h="16840" w:code="9"/>
          <w:pgMar w:top="851" w:right="851" w:bottom="1418" w:left="1134" w:header="720" w:footer="720" w:gutter="0"/>
          <w:cols w:space="1247"/>
        </w:sect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r w:rsidRPr="0070369A">
        <w:rPr>
          <w:rFonts w:ascii="Times New Roman" w:hAnsi="Times New Roman"/>
          <w:sz w:val="24"/>
          <w:szCs w:val="24"/>
        </w:rPr>
        <w:t xml:space="preserve">сельского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856A51">
        <w:rPr>
          <w:rFonts w:ascii="Times New Roman" w:hAnsi="Times New Roman"/>
          <w:sz w:val="24"/>
          <w:szCs w:val="24"/>
        </w:rPr>
        <w:t>Ивановский</w:t>
      </w:r>
      <w:r w:rsidRPr="0070369A">
        <w:rPr>
          <w:rFonts w:ascii="Times New Roman" w:hAnsi="Times New Roman"/>
          <w:sz w:val="24"/>
          <w:szCs w:val="24"/>
        </w:rPr>
        <w:t xml:space="preserve"> 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sidR="00856A51">
        <w:rPr>
          <w:rFonts w:ascii="Times New Roman" w:hAnsi="Times New Roman"/>
          <w:sz w:val="24"/>
          <w:szCs w:val="24"/>
        </w:rPr>
        <w:t>30</w:t>
      </w:r>
      <w:r w:rsidR="003F4143">
        <w:rPr>
          <w:rFonts w:ascii="Times New Roman" w:hAnsi="Times New Roman"/>
          <w:sz w:val="24"/>
          <w:szCs w:val="24"/>
        </w:rPr>
        <w:t xml:space="preserve"> мая </w:t>
      </w:r>
      <w:r>
        <w:rPr>
          <w:rFonts w:ascii="Times New Roman" w:hAnsi="Times New Roman"/>
          <w:sz w:val="24"/>
          <w:szCs w:val="24"/>
        </w:rPr>
        <w:t xml:space="preserve"> </w:t>
      </w:r>
      <w:r w:rsidRPr="0070369A">
        <w:rPr>
          <w:rFonts w:ascii="Times New Roman" w:hAnsi="Times New Roman"/>
          <w:sz w:val="24"/>
          <w:szCs w:val="24"/>
        </w:rPr>
        <w:t>20</w:t>
      </w:r>
      <w:r w:rsidR="003F4143">
        <w:rPr>
          <w:rFonts w:ascii="Times New Roman" w:hAnsi="Times New Roman"/>
          <w:sz w:val="24"/>
          <w:szCs w:val="24"/>
        </w:rPr>
        <w:t>22</w:t>
      </w:r>
      <w:r w:rsidRPr="0070369A">
        <w:rPr>
          <w:rFonts w:ascii="Times New Roman" w:hAnsi="Times New Roman"/>
          <w:sz w:val="24"/>
          <w:szCs w:val="24"/>
        </w:rPr>
        <w:t xml:space="preserve"> года №</w:t>
      </w:r>
      <w:r>
        <w:rPr>
          <w:rFonts w:ascii="Times New Roman" w:hAnsi="Times New Roman"/>
          <w:sz w:val="24"/>
          <w:szCs w:val="24"/>
        </w:rPr>
        <w:t xml:space="preserve"> </w:t>
      </w:r>
      <w:r w:rsidR="00856A51">
        <w:rPr>
          <w:rFonts w:ascii="Times New Roman" w:hAnsi="Times New Roman"/>
          <w:sz w:val="24"/>
          <w:szCs w:val="24"/>
        </w:rPr>
        <w:t>37</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856A51">
        <w:rPr>
          <w:rFonts w:ascii="Times New Roman" w:hAnsi="Times New Roman" w:cs="Times New Roman"/>
          <w:bCs/>
          <w:sz w:val="24"/>
          <w:szCs w:val="24"/>
        </w:rPr>
        <w:t>Ивановский</w:t>
      </w:r>
      <w:r w:rsidR="008A4E03" w:rsidRPr="00526A8C">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856A51">
        <w:rPr>
          <w:rFonts w:ascii="Times New Roman" w:hAnsi="Times New Roman" w:cs="Times New Roman"/>
          <w:bCs/>
          <w:sz w:val="24"/>
          <w:szCs w:val="24"/>
        </w:rPr>
        <w:t>Ивановский</w:t>
      </w:r>
      <w:r w:rsidR="008A4E03" w:rsidRPr="008A4E03">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856A51">
        <w:rPr>
          <w:rFonts w:ascii="Times New Roman" w:hAnsi="Times New Roman" w:cs="Times New Roman"/>
          <w:bCs/>
          <w:sz w:val="24"/>
          <w:szCs w:val="24"/>
        </w:rPr>
        <w:t>Ивановский</w:t>
      </w:r>
      <w:r w:rsidR="008A4E03" w:rsidRPr="008A4E03">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с распоряжением высшего должностного лица субъекта Российской Федерации для размещения</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объектов</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социально-культурного</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lastRenderedPageBreak/>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и иных объектов 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w:t>
      </w:r>
      <w:r w:rsidR="003F4143">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в соответствии с Федеральным </w:t>
      </w:r>
      <w:hyperlink r:id="rId14"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5"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7"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8"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9"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866B57">
        <w:rPr>
          <w:rFonts w:ascii="Times New Roman" w:eastAsia="BatangChe" w:hAnsi="Times New Roman" w:cs="Times New Roman"/>
          <w:sz w:val="24"/>
          <w:szCs w:val="24"/>
        </w:rPr>
        <w:br/>
      </w:r>
      <w:r w:rsidR="00CE60EA" w:rsidRPr="00866B57">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w:t>
      </w:r>
      <w:r w:rsidR="00CE60EA" w:rsidRPr="00866B57">
        <w:rPr>
          <w:rFonts w:ascii="Times New Roman" w:eastAsia="Calibri" w:hAnsi="Times New Roman" w:cs="Times New Roman"/>
          <w:sz w:val="24"/>
          <w:szCs w:val="24"/>
        </w:rPr>
        <w:lastRenderedPageBreak/>
        <w:t>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0"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866B57">
        <w:rPr>
          <w:rFonts w:ascii="Times New Roman" w:eastAsia="BatangChe" w:hAnsi="Times New Roman" w:cs="Times New Roman"/>
          <w:sz w:val="24"/>
          <w:szCs w:val="24"/>
        </w:rPr>
        <w:br/>
      </w:r>
      <w:r w:rsidR="008A38F8" w:rsidRPr="00866B57">
        <w:rPr>
          <w:rFonts w:ascii="Times New Roman" w:eastAsia="BatangChe" w:hAnsi="Times New Roman" w:cs="Times New Roman"/>
          <w:sz w:val="24"/>
          <w:szCs w:val="24"/>
        </w:rPr>
        <w:t xml:space="preserve">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в соответствии 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5"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866B57">
        <w:rPr>
          <w:rFonts w:ascii="Times New Roman" w:eastAsia="BatangChe" w:hAnsi="Times New Roman" w:cs="Times New Roman"/>
          <w:sz w:val="24"/>
          <w:szCs w:val="24"/>
        </w:rPr>
        <w:lastRenderedPageBreak/>
        <w:t>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сфере развития инфраструктуры особой экономической зоны. </w:t>
      </w:r>
      <w:r w:rsidR="00E32210" w:rsidRPr="00866B57">
        <w:rPr>
          <w:rFonts w:ascii="Times New Roman" w:eastAsia="BatangChe" w:hAnsi="Times New Roman" w:cs="Times New Roman"/>
          <w:sz w:val="24"/>
          <w:szCs w:val="24"/>
        </w:rPr>
        <w:t xml:space="preserve">Примерная </w:t>
      </w:r>
      <w:hyperlink r:id="rId27"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для размещения водохранилищ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8"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9"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30"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31"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2"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3"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5"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866B57">
        <w:rPr>
          <w:rFonts w:ascii="Times New Roman" w:eastAsia="BatangChe" w:hAnsi="Times New Roman" w:cs="Times New Roman"/>
          <w:color w:val="000000"/>
          <w:sz w:val="24"/>
          <w:szCs w:val="24"/>
        </w:rPr>
        <w:br/>
        <w:t xml:space="preserve">в соответствии с </w:t>
      </w:r>
      <w:hyperlink r:id="rId36"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7"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lastRenderedPageBreak/>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856A51">
        <w:rPr>
          <w:rFonts w:ascii="Times New Roman" w:hAnsi="Times New Roman" w:cs="Times New Roman"/>
          <w:bCs/>
          <w:color w:val="000000" w:themeColor="text1"/>
          <w:sz w:val="24"/>
          <w:szCs w:val="24"/>
        </w:rPr>
        <w:t>Ивановский</w:t>
      </w:r>
      <w:r w:rsidR="00866B57" w:rsidRPr="00866B57">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8"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bookmarkStart w:id="1" w:name="_GoBack"/>
      <w:bookmarkEnd w:id="1"/>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hyperlink r:id="rId39" w:history="1">
        <w:r w:rsidR="003F4143" w:rsidRPr="00D471BC">
          <w:rPr>
            <w:rStyle w:val="a6"/>
            <w:rFonts w:ascii="Times New Roman" w:hAnsi="Times New Roman" w:cs="Times New Roman"/>
            <w:sz w:val="24"/>
            <w:szCs w:val="24"/>
          </w:rPr>
          <w:t>http://sovet-</w:t>
        </w:r>
      </w:hyperlink>
      <w:r w:rsidR="003F4143">
        <w:rPr>
          <w:rFonts w:ascii="Times New Roman" w:hAnsi="Times New Roman" w:cs="Times New Roman"/>
          <w:sz w:val="24"/>
          <w:szCs w:val="24"/>
        </w:rPr>
        <w:t xml:space="preserve"> </w:t>
      </w:r>
      <w:r w:rsidR="00866B57" w:rsidRPr="00866B57">
        <w:rPr>
          <w:rFonts w:ascii="Times New Roman" w:hAnsi="Times New Roman" w:cs="Times New Roman"/>
          <w:sz w:val="24"/>
          <w:szCs w:val="24"/>
        </w:rPr>
        <w:t>davlekanovo.ru/</w:t>
      </w:r>
      <w:proofErr w:type="spellStart"/>
      <w:r w:rsidR="00866B57" w:rsidRPr="00866B57">
        <w:rPr>
          <w:rFonts w:ascii="Times New Roman" w:hAnsi="Times New Roman" w:cs="Times New Roman"/>
          <w:sz w:val="24"/>
          <w:szCs w:val="24"/>
        </w:rPr>
        <w:t>rural</w:t>
      </w:r>
      <w:proofErr w:type="spellEnd"/>
      <w:r w:rsidR="00866B57" w:rsidRPr="00866B57">
        <w:rPr>
          <w:rFonts w:ascii="Times New Roman" w:hAnsi="Times New Roman" w:cs="Times New Roman"/>
          <w:sz w:val="24"/>
          <w:szCs w:val="24"/>
        </w:rPr>
        <w:t>/</w:t>
      </w:r>
      <w:proofErr w:type="spellStart"/>
      <w:r w:rsidR="00856A51">
        <w:rPr>
          <w:rFonts w:ascii="Times New Roman" w:hAnsi="Times New Roman" w:cs="Times New Roman"/>
          <w:sz w:val="24"/>
          <w:szCs w:val="24"/>
          <w:lang w:val="en-US"/>
        </w:rPr>
        <w:t>ivanovo</w:t>
      </w:r>
      <w:proofErr w:type="spellEnd"/>
      <w:r w:rsidR="00866B57" w:rsidRPr="00866B57">
        <w:rPr>
          <w:rFonts w:ascii="Times New Roman" w:hAnsi="Times New Roman" w:cs="Times New Roman"/>
          <w:sz w:val="24"/>
          <w:szCs w:val="24"/>
        </w:rPr>
        <w:t>/;</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40"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w:t>
      </w:r>
      <w:r w:rsidR="007A1B9F" w:rsidRPr="00866B57">
        <w:rPr>
          <w:rFonts w:ascii="Times New Roman" w:eastAsia="Calibri" w:hAnsi="Times New Roman" w:cs="Times New Roman"/>
          <w:sz w:val="24"/>
          <w:szCs w:val="24"/>
        </w:rPr>
        <w:br/>
      </w:r>
      <w:r w:rsidRPr="00866B57">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в информационно-телекоммуникационной сети Интернет</w:t>
      </w:r>
      <w:r w:rsidR="003F4143" w:rsidRPr="003F4143">
        <w:rPr>
          <w:rFonts w:ascii="Times New Roman" w:hAnsi="Times New Roman" w:cs="Times New Roman"/>
          <w:color w:val="000000" w:themeColor="text1"/>
          <w:sz w:val="24"/>
          <w:szCs w:val="24"/>
        </w:rPr>
        <w:t>http://sovet-davlekanovo.ru/rural/polyakovskiy/</w:t>
      </w:r>
      <w:r w:rsidR="00E230A8" w:rsidRPr="00866B57">
        <w:rPr>
          <w:rFonts w:ascii="Times New Roman" w:hAnsi="Times New Roman" w:cs="Times New Roman"/>
          <w:color w:val="000000" w:themeColor="text1"/>
          <w:sz w:val="24"/>
          <w:szCs w:val="24"/>
        </w:rPr>
        <w:t xml:space="preserve">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1"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lastRenderedPageBreak/>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856A51">
        <w:rPr>
          <w:rFonts w:ascii="Times New Roman" w:hAnsi="Times New Roman" w:cs="Times New Roman"/>
          <w:color w:val="000000" w:themeColor="text1"/>
          <w:sz w:val="24"/>
          <w:szCs w:val="24"/>
        </w:rPr>
        <w:t>Ивановский</w:t>
      </w:r>
      <w:r w:rsidR="00866B57" w:rsidRPr="00640A5D">
        <w:rPr>
          <w:rFonts w:ascii="Times New Roman" w:hAnsi="Times New Roman" w:cs="Times New Roman"/>
          <w:color w:val="000000" w:themeColor="text1"/>
          <w:sz w:val="24"/>
          <w:szCs w:val="24"/>
        </w:rPr>
        <w:t xml:space="preserve"> 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w:t>
      </w:r>
      <w:r w:rsidRPr="00640A5D">
        <w:rPr>
          <w:rFonts w:ascii="Times New Roman" w:hAnsi="Times New Roman" w:cs="Times New Roman"/>
          <w:color w:val="000000" w:themeColor="text1"/>
          <w:sz w:val="24"/>
          <w:szCs w:val="24"/>
        </w:rPr>
        <w:lastRenderedPageBreak/>
        <w:t>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w:t>
      </w:r>
      <w:r w:rsidRPr="00640A5D">
        <w:rPr>
          <w:rFonts w:ascii="Times New Roman" w:hAnsi="Times New Roman" w:cs="Times New Roman"/>
          <w:color w:val="000000" w:themeColor="text1"/>
          <w:sz w:val="24"/>
          <w:szCs w:val="24"/>
        </w:rPr>
        <w:lastRenderedPageBreak/>
        <w:t>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7"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2"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7"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60"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3"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6"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3F4143">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3F4143">
        <w:rPr>
          <w:rFonts w:ascii="Times New Roman" w:eastAsia="Times New Roman" w:hAnsi="Times New Roman" w:cs="Times New Roman"/>
          <w:sz w:val="24"/>
          <w:szCs w:val="24"/>
          <w:lang w:eastAsia="ru-RU"/>
        </w:rPr>
        <w:t xml:space="preserve">  </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8"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w:t>
      </w:r>
      <w:r w:rsidRPr="00640A5D">
        <w:rPr>
          <w:rFonts w:ascii="Times New Roman" w:eastAsia="Times New Roman" w:hAnsi="Times New Roman" w:cs="Times New Roman"/>
          <w:sz w:val="24"/>
          <w:szCs w:val="24"/>
          <w:lang w:eastAsia="ru-RU"/>
        </w:rPr>
        <w:lastRenderedPageBreak/>
        <w:t>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1"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w:t>
      </w:r>
      <w:r w:rsidRPr="00640A5D">
        <w:rPr>
          <w:rFonts w:ascii="Times New Roman" w:eastAsia="Times New Roman" w:hAnsi="Times New Roman" w:cs="Times New Roman"/>
          <w:sz w:val="24"/>
          <w:szCs w:val="24"/>
          <w:lang w:eastAsia="ru-RU"/>
        </w:rPr>
        <w:lastRenderedPageBreak/>
        <w:t>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81"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3"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4"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5"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9"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1"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4"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5"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8"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0"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3F4143">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3F4143">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3"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3F4143">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640A5D">
        <w:rPr>
          <w:rFonts w:ascii="Times New Roman" w:eastAsia="Calibri" w:hAnsi="Times New Roman" w:cs="Times New Roman"/>
          <w:sz w:val="24"/>
          <w:szCs w:val="24"/>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9"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C422A1" w:rsidRPr="00640A5D">
        <w:rPr>
          <w:color w:val="000000" w:themeColor="text1"/>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2"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4"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lastRenderedPageBreak/>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6"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8"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B94CA1" w:rsidRPr="00640A5D">
        <w:rPr>
          <w:rFonts w:ascii="Times New Roman" w:hAnsi="Times New Roman" w:cs="Times New Roman"/>
          <w:color w:val="000000" w:themeColor="text1"/>
          <w:sz w:val="24"/>
          <w:szCs w:val="24"/>
        </w:rPr>
        <w:t xml:space="preserve"> документов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 xml:space="preserve">аявителей. </w:t>
      </w:r>
      <w:r w:rsidRPr="00640A5D">
        <w:rPr>
          <w:rFonts w:ascii="Times New Roman" w:hAnsi="Times New Roman" w:cs="Times New Roman"/>
          <w:color w:val="000000" w:themeColor="text1"/>
          <w:sz w:val="24"/>
          <w:szCs w:val="24"/>
        </w:rPr>
        <w:lastRenderedPageBreak/>
        <w:t>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Для парковки специальных автотранспортных средств инвалидов </w:t>
      </w:r>
      <w:r w:rsidRPr="00640A5D">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w:t>
      </w:r>
      <w:proofErr w:type="spellStart"/>
      <w:r w:rsidRPr="00640A5D">
        <w:rPr>
          <w:rFonts w:ascii="Times New Roman" w:hAnsi="Times New Roman" w:cs="Times New Roman"/>
          <w:color w:val="000000" w:themeColor="text1"/>
          <w:sz w:val="24"/>
          <w:szCs w:val="24"/>
        </w:rPr>
        <w:t>doc</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00085365" w:rsidRPr="00640A5D">
        <w:rPr>
          <w:rFonts w:ascii="Times New Roman" w:eastAsia="Calibri" w:hAnsi="Times New Roman" w:cs="Times New Roman"/>
          <w:color w:val="000000" w:themeColor="text1"/>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9"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640A5D" w:rsidRDefault="00856A51"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w:t>
      </w:r>
      <w:r w:rsidRPr="00640A5D">
        <w:rPr>
          <w:rFonts w:ascii="Times New Roman" w:hAnsi="Times New Roman" w:cs="Times New Roman"/>
          <w:bCs/>
          <w:color w:val="000000" w:themeColor="text1"/>
          <w:sz w:val="24"/>
          <w:szCs w:val="24"/>
        </w:rPr>
        <w:lastRenderedPageBreak/>
        <w:t xml:space="preserve">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При обращении за предоставлением двух и более муниципальных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640A5D">
        <w:rPr>
          <w:rFonts w:ascii="Times New Roman" w:hAnsi="Times New Roman" w:cs="Times New Roman"/>
          <w:bCs/>
          <w:color w:val="000000" w:themeColor="text1"/>
          <w:sz w:val="24"/>
          <w:szCs w:val="24"/>
        </w:rPr>
        <w:lastRenderedPageBreak/>
        <w:t>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3F4143" w:rsidRDefault="003F4143"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lastRenderedPageBreak/>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lastRenderedPageBreak/>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lastRenderedPageBreak/>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CE7435"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 </w:t>
      </w:r>
      <w:r w:rsidR="00311AB6"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716151" w:rsidRDefault="00CE7435"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 xml:space="preserve"> </w:t>
      </w:r>
      <w:r w:rsidR="00311AB6"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716151" w:rsidRDefault="00CE7435"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 xml:space="preserve"> </w:t>
      </w:r>
      <w:r w:rsidR="00311AB6"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00311AB6"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CE7435"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 </w:t>
      </w:r>
      <w:r w:rsidR="00311AB6"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00311AB6" w:rsidRPr="006A2308">
        <w:rPr>
          <w:rFonts w:ascii="Times New Roman" w:hAnsi="Times New Roman" w:cs="Times New Roman"/>
          <w:color w:val="000000" w:themeColor="text1"/>
          <w:sz w:val="16"/>
          <w:szCs w:val="16"/>
        </w:rPr>
        <w:t>ов</w:t>
      </w:r>
      <w:proofErr w:type="spellEnd"/>
      <w:r w:rsidR="00311AB6"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00311AB6"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00311AB6"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00311AB6"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00311AB6" w:rsidRPr="006A2308">
        <w:rPr>
          <w:rFonts w:ascii="Times New Roman" w:hAnsi="Times New Roman" w:cs="Times New Roman"/>
          <w:color w:val="000000" w:themeColor="text1"/>
          <w:sz w:val="16"/>
          <w:szCs w:val="16"/>
        </w:rPr>
        <w:t xml:space="preserve"> правильные сведения)</w:t>
      </w:r>
    </w:p>
    <w:p w:rsidR="00311AB6" w:rsidRPr="00CE7435"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 xml:space="preserve"> К заявлению прилагаются:</w:t>
      </w:r>
    </w:p>
    <w:p w:rsidR="00311AB6" w:rsidRPr="00CE7435"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Д</w:t>
      </w:r>
      <w:r w:rsidR="00311AB6" w:rsidRPr="00CE7435">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CE7435"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О</w:t>
      </w:r>
      <w:r w:rsidR="00020CA7" w:rsidRPr="00CE7435">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CE7435">
      <w:pPr>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BE312C" w:rsidRDefault="00CE7435" w:rsidP="00BE31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w:t>
      </w:r>
      <w:r w:rsidR="00AE05BB" w:rsidRPr="00AE05BB">
        <w:rPr>
          <w:rFonts w:ascii="Times New Roman" w:hAnsi="Times New Roman" w:cs="Times New Roman"/>
          <w:color w:val="000000" w:themeColor="text1"/>
          <w:sz w:val="24"/>
          <w:szCs w:val="24"/>
        </w:rPr>
        <w:t>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CE7435">
      <w:pPr>
        <w:spacing w:after="0" w:line="240" w:lineRule="auto"/>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B06A80" w:rsidRDefault="00CE7435" w:rsidP="00CE7435">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w:t>
      </w:r>
      <w:r w:rsidR="00AE05BB"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B06A80" w:rsidRDefault="00CE7435" w:rsidP="00CE7435">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w:t>
      </w:r>
      <w:r w:rsidR="00AE05BB"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00AE05BB" w:rsidRPr="00B06A80">
        <w:rPr>
          <w:rFonts w:ascii="Times New Roman" w:hAnsi="Times New Roman" w:cs="Times New Roman"/>
          <w:color w:val="000000" w:themeColor="text1"/>
          <w:sz w:val="16"/>
          <w:szCs w:val="16"/>
        </w:rPr>
        <w:t>ов</w:t>
      </w:r>
      <w:proofErr w:type="spellEnd"/>
      <w:r w:rsidR="00AE05BB"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00AE05BB"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00AE05BB"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00AE05BB"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00AE05BB"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К заявлению прилагаются: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CE7435">
      <w:pPr>
        <w:spacing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D7357C" w:rsidRDefault="00D7357C" w:rsidP="00020CA7">
      <w:pPr>
        <w:rPr>
          <w:rFonts w:ascii="Times New Roman" w:hAnsi="Times New Roman" w:cs="Times New Roman"/>
          <w:color w:val="000000" w:themeColor="text1"/>
          <w:sz w:val="24"/>
          <w:szCs w:val="24"/>
        </w:rPr>
        <w:sectPr w:rsidR="00D7357C" w:rsidSect="004152A6">
          <w:headerReference w:type="default" r:id="rId121"/>
          <w:pgSz w:w="11906" w:h="16838"/>
          <w:pgMar w:top="1134" w:right="680"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B5" w:rsidRDefault="00403DB5">
      <w:pPr>
        <w:spacing w:after="0" w:line="240" w:lineRule="auto"/>
      </w:pPr>
      <w:r>
        <w:separator/>
      </w:r>
    </w:p>
  </w:endnote>
  <w:endnote w:type="continuationSeparator" w:id="0">
    <w:p w:rsidR="00403DB5" w:rsidRDefault="0040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B5" w:rsidRDefault="00403DB5">
      <w:pPr>
        <w:spacing w:after="0" w:line="240" w:lineRule="auto"/>
      </w:pPr>
      <w:r>
        <w:separator/>
      </w:r>
    </w:p>
  </w:footnote>
  <w:footnote w:type="continuationSeparator" w:id="0">
    <w:p w:rsidR="00403DB5" w:rsidRDefault="0040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866B57" w:rsidRPr="009E4FC1" w:rsidRDefault="00866B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856A51">
          <w:rPr>
            <w:rFonts w:ascii="Times New Roman" w:hAnsi="Times New Roman" w:cs="Times New Roman"/>
            <w:noProof/>
            <w:sz w:val="24"/>
            <w:szCs w:val="24"/>
          </w:rPr>
          <w:t>7</w:t>
        </w:r>
        <w:r w:rsidRPr="009E4FC1">
          <w:rPr>
            <w:rFonts w:ascii="Times New Roman" w:hAnsi="Times New Roman" w:cs="Times New Roman"/>
            <w:sz w:val="24"/>
            <w:szCs w:val="24"/>
          </w:rPr>
          <w:fldChar w:fldCharType="end"/>
        </w:r>
      </w:p>
    </w:sdtContent>
  </w:sdt>
  <w:p w:rsidR="00866B57" w:rsidRDefault="00866B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4143"/>
    <w:rsid w:val="003F583B"/>
    <w:rsid w:val="003F595B"/>
    <w:rsid w:val="00400053"/>
    <w:rsid w:val="00401C4C"/>
    <w:rsid w:val="00403DB5"/>
    <w:rsid w:val="00405166"/>
    <w:rsid w:val="00407E98"/>
    <w:rsid w:val="0041007D"/>
    <w:rsid w:val="004115E4"/>
    <w:rsid w:val="00413046"/>
    <w:rsid w:val="004152A6"/>
    <w:rsid w:val="00415AE9"/>
    <w:rsid w:val="00416872"/>
    <w:rsid w:val="00416C91"/>
    <w:rsid w:val="00422E17"/>
    <w:rsid w:val="004230BF"/>
    <w:rsid w:val="00423E6A"/>
    <w:rsid w:val="00426C7A"/>
    <w:rsid w:val="00426CDC"/>
    <w:rsid w:val="00426D7E"/>
    <w:rsid w:val="00427E92"/>
    <w:rsid w:val="004300D1"/>
    <w:rsid w:val="004313EB"/>
    <w:rsid w:val="00431A9C"/>
    <w:rsid w:val="0043296F"/>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56A51"/>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435"/>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1E91297A56ABC86B7666C975F6120042DCA0CCB26D3V7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3D3V7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BD84C8301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B7ADCFF19CCDE560EF211282B115JBN" TargetMode="External"/><Relationship Id="rId32" Type="http://schemas.openxmlformats.org/officeDocument/2006/relationships/hyperlink" Target="consultantplus://offline/ref=480E25EC89D8987E8349EB82DDD9180782FFED96B458B75CC3573A4C46A2E154752C02E8D0EAE007C4F3027AD4135CM" TargetMode="External"/><Relationship Id="rId37" Type="http://schemas.openxmlformats.org/officeDocument/2006/relationships/hyperlink" Target="consultantplus://offline/ref=93B110D9860F001DBF76BB8A842ACF260674EAA76FEFDC798ED238ED2333D2B46EE96F4B5FC4F0F1AD625B34CFC3V6G"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971BB25385751601C288800B4CCA807B787C638AF9447562C133EEE52857CC30C7E99001A17DC1E4135896118854BF730641AD626780cDE5M" TargetMode="External"/><Relationship Id="rId14" Type="http://schemas.openxmlformats.org/officeDocument/2006/relationships/hyperlink" Target="consultantplus://offline/ref=EB5EC864F263D0891480719848B9B1A81FF4D843850329A691836430152ED363DF4346D31735B58C74C2F8F437V2B5M" TargetMode="External"/><Relationship Id="rId22" Type="http://schemas.openxmlformats.org/officeDocument/2006/relationships/hyperlink" Target="consultantplus://offline/ref=52B7D79E24AE39BB17A48290DCB8E947F1E91297A56ABC86B7666C975F6120042DCA0CC625D3VCN" TargetMode="External"/><Relationship Id="rId27" Type="http://schemas.openxmlformats.org/officeDocument/2006/relationships/hyperlink" Target="consultantplus://offline/ref=52B7D79E24AE39BB17A48290DCB8E947F0EB1791AB66BC86B7666C975F6120042DCA0CC2233F1E9DD2VAN" TargetMode="External"/><Relationship Id="rId30" Type="http://schemas.openxmlformats.org/officeDocument/2006/relationships/hyperlink" Target="consultantplus://offline/ref=A5D2C97FF05044C8F45DB90FF2B762FFC879368A597757E78D2E09DE4C80956D3880739E78748409D154C6BB435FDA819A88D53BA26D13M" TargetMode="External"/><Relationship Id="rId35" Type="http://schemas.openxmlformats.org/officeDocument/2006/relationships/hyperlink" Target="garantF1://85181.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BA6211640594CD97D65A269E0736E4C6CE3E8F0AC1375AB0850EC21E639F686A5AD97FD9CC9F268E83444D3F70FF2204E9D07C9663C9DEB1BJ4N" TargetMode="External"/><Relationship Id="rId17" Type="http://schemas.openxmlformats.org/officeDocument/2006/relationships/hyperlink" Target="consultantplus://offline/ref=EB5EC864F263D0891480719848B9B1A81FF4D843860629A691836430152ED363DF4346D31735B58C74C2F8F437V2B5M" TargetMode="External"/><Relationship Id="rId25" Type="http://schemas.openxmlformats.org/officeDocument/2006/relationships/hyperlink" Target="consultantplus://offline/ref=D44300C134CEFEB52D9BDCC8CF3240345E194AA75677B4E3024C1066EEEA1AAD7C559E9812BBE8C11BF979FB7CEBM8M" TargetMode="External"/><Relationship Id="rId33" Type="http://schemas.openxmlformats.org/officeDocument/2006/relationships/hyperlink" Target="consultantplus://offline/ref=4B946C5F9C94978B1CA0A69D42B1B14F89D5A73586E1C2FC54DD34A729E62D2AEF6659688869DF9ABBEE0C3BC4081527C1E87D833D93E770U47CM"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B2BD3VB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CD431ED81238A887258DBEA138242A37EEB26A86DCF0VCBDM" TargetMode="External"/><Relationship Id="rId23" Type="http://schemas.openxmlformats.org/officeDocument/2006/relationships/hyperlink" Target="consultantplus://offline/ref=EB97C7649E3EA2521386EDE44F4AC3004FCB240C17DAB7F0787C425A3006E5C911A3C445C85B24F7AC97CACF54480B916AD2DE2CDA5209FDn0m5J" TargetMode="External"/><Relationship Id="rId28" Type="http://schemas.openxmlformats.org/officeDocument/2006/relationships/hyperlink" Target="consultantplus://offline/ref=A5D2C97FF05044C8F45DB90FF2B762FFC879368A597757E78D2E09DE4C80956D3880739F717F8409D154C6BB435FDA819A88D53BA26D13M" TargetMode="External"/><Relationship Id="rId36" Type="http://schemas.openxmlformats.org/officeDocument/2006/relationships/hyperlink" Target="garantF1://12038258.0"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52B7D79E24AE39BB17A48290DCB8E947F3EE1596AF6BBC86B7666C975F6120042DCA0CC2233F1E9CD2V2N" TargetMode="External"/><Relationship Id="rId31" Type="http://schemas.openxmlformats.org/officeDocument/2006/relationships/hyperlink" Target="consultantplus://offline/ref=814E82E4D8FC959FEE26F2079441458E2489C81E5C96C8B4303DD6F54F8FB930359E0B37665FA301E14F124AA5z437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971BB25385751601C288800B4CCA807B787C638AF9447562C133EEE52857CC30C7E99004A17FC8BB164D87498550A56D035AB16065c8E3M" TargetMode="External"/><Relationship Id="rId39" Type="http://schemas.openxmlformats.org/officeDocument/2006/relationships/hyperlink" Target="http://sovet-"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71632782.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78409D154C6BB435FDA819A88D53BA26D13M" TargetMode="External"/><Relationship Id="rId24" Type="http://schemas.openxmlformats.org/officeDocument/2006/relationships/hyperlink" Target="consultantplus://offline/ref=D44300C134CEFEB52D9BDCC8CF3240345E194AA75677B4E3024C1066EEEA1AAD6E55C69616B9F1CA4AB63FAE73B9AF7F71296203197DE4MCM" TargetMode="External"/><Relationship Id="rId40"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82F1-DBAB-479E-9377-4A4CD25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27254</Words>
  <Characters>155349</Characters>
  <Application>Microsoft Office Word</Application>
  <DocSecurity>4</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Ивановка</cp:lastModifiedBy>
  <cp:revision>2</cp:revision>
  <cp:lastPrinted>2022-06-03T08:48:00Z</cp:lastPrinted>
  <dcterms:created xsi:type="dcterms:W3CDTF">2022-06-03T08:49:00Z</dcterms:created>
  <dcterms:modified xsi:type="dcterms:W3CDTF">2022-06-03T08:49:00Z</dcterms:modified>
</cp:coreProperties>
</file>