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Default="00ED60D9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9F3C1A" w:rsidRPr="004E47D1" w:rsidTr="00955673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3C1A" w:rsidRPr="004E47D1" w:rsidRDefault="009F3C1A" w:rsidP="009F3C1A">
            <w:pPr>
              <w:spacing w:after="0"/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</w:rPr>
              <w:t>Б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9F3C1A" w:rsidRPr="004E47D1" w:rsidRDefault="009F3C1A" w:rsidP="009F3C1A">
            <w:pPr>
              <w:spacing w:after="0"/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9F3C1A" w:rsidRPr="004E47D1" w:rsidRDefault="009F3C1A" w:rsidP="009F3C1A">
            <w:pPr>
              <w:spacing w:after="0"/>
              <w:rPr>
                <w:lang w:val="be-BY"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</w:rPr>
              <w:t>С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lang w:val="be-BY"/>
              </w:rPr>
              <w:t>Советы</w:t>
            </w:r>
          </w:p>
          <w:p w:rsidR="009F3C1A" w:rsidRPr="004E47D1" w:rsidRDefault="009F3C1A" w:rsidP="009F3C1A">
            <w:pPr>
              <w:spacing w:after="0"/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453418,Д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γл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к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9F3C1A" w:rsidRPr="004E47D1" w:rsidRDefault="009F3C1A" w:rsidP="009F3C1A">
            <w:pPr>
              <w:spacing w:after="0"/>
              <w:rPr>
                <w:rFonts w:ascii="Peterburg" w:hAnsi="Peterburg"/>
              </w:rPr>
            </w:pPr>
            <w:proofErr w:type="spellStart"/>
            <w:r w:rsidRPr="004E47D1">
              <w:rPr>
                <w:rFonts w:ascii="Peterburg" w:hAnsi="Peterburg"/>
              </w:rPr>
              <w:t>Узак</w:t>
            </w:r>
            <w:proofErr w:type="spellEnd"/>
            <w:r w:rsidRPr="004E47D1">
              <w:rPr>
                <w:rFonts w:ascii="Peterburg" w:hAnsi="Peterburg"/>
              </w:rPr>
              <w:t xml:space="preserve">  </w:t>
            </w:r>
            <w:proofErr w:type="spellStart"/>
            <w:r w:rsidRPr="004E47D1">
              <w:rPr>
                <w:rFonts w:ascii="Peterburg" w:hAnsi="Peterburg"/>
              </w:rPr>
              <w:t>урамы</w:t>
            </w:r>
            <w:proofErr w:type="spellEnd"/>
            <w:r w:rsidRPr="004E47D1">
              <w:rPr>
                <w:rFonts w:ascii="Peterburg" w:hAnsi="Peterburg"/>
              </w:rPr>
              <w:t xml:space="preserve">  46</w:t>
            </w:r>
          </w:p>
          <w:p w:rsidR="009F3C1A" w:rsidRPr="004E47D1" w:rsidRDefault="009F3C1A" w:rsidP="009F3C1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  <w:p w:rsidR="009F3C1A" w:rsidRPr="004E47D1" w:rsidRDefault="009F3C1A" w:rsidP="00955673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3C1A" w:rsidRPr="004E47D1" w:rsidRDefault="009F3C1A" w:rsidP="00955673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05E162D9" wp14:editId="3299C665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3C1A" w:rsidRPr="004E47D1" w:rsidRDefault="009F3C1A" w:rsidP="009F3C1A">
            <w:pPr>
              <w:spacing w:after="0"/>
              <w:rPr>
                <w:rFonts w:ascii="Peterburg" w:hAnsi="Peterburg"/>
                <w:b/>
              </w:rPr>
            </w:pPr>
            <w:r>
              <w:rPr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9F3C1A" w:rsidRPr="004E47D1" w:rsidRDefault="009F3C1A" w:rsidP="009F3C1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9F3C1A" w:rsidRPr="004E47D1" w:rsidRDefault="009F3C1A" w:rsidP="009F3C1A">
            <w:pPr>
              <w:spacing w:after="0"/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9F3C1A" w:rsidRPr="004E47D1" w:rsidRDefault="009F3C1A" w:rsidP="009F3C1A">
            <w:pPr>
              <w:spacing w:after="0"/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9F3C1A" w:rsidRPr="004E47D1" w:rsidRDefault="009F3C1A" w:rsidP="009F3C1A">
            <w:pPr>
              <w:spacing w:after="0"/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9F3C1A" w:rsidRDefault="009F3C1A" w:rsidP="009F3C1A">
      <w:pPr>
        <w:rPr>
          <w:sz w:val="28"/>
          <w:szCs w:val="28"/>
        </w:rPr>
      </w:pPr>
    </w:p>
    <w:p w:rsidR="009F3C1A" w:rsidRPr="009F3C1A" w:rsidRDefault="009F3C1A" w:rsidP="009F3C1A">
      <w:pPr>
        <w:rPr>
          <w:rFonts w:ascii="Times New Roman" w:hAnsi="Times New Roman" w:cs="Times New Roman"/>
          <w:sz w:val="28"/>
          <w:szCs w:val="28"/>
        </w:rPr>
      </w:pPr>
      <w:r w:rsidRPr="009F3C1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Ҡ</w:t>
      </w:r>
      <w:r w:rsidRPr="009F3C1A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</w:t>
      </w:r>
      <w:r w:rsidR="00B53747">
        <w:rPr>
          <w:rFonts w:ascii="Times New Roman" w:hAnsi="Times New Roman" w:cs="Times New Roman"/>
          <w:b/>
          <w:sz w:val="28"/>
          <w:szCs w:val="28"/>
        </w:rPr>
        <w:t>№</w:t>
      </w:r>
      <w:r w:rsidR="00B53747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9F3C1A">
        <w:rPr>
          <w:rFonts w:ascii="Times New Roman" w:hAnsi="Times New Roman" w:cs="Times New Roman"/>
          <w:b/>
          <w:sz w:val="28"/>
          <w:szCs w:val="28"/>
        </w:rPr>
        <w:tab/>
      </w:r>
      <w:r w:rsidRPr="009F3C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РЕШЕНИЕ</w:t>
      </w:r>
      <w:r w:rsidRPr="009F3C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C1A" w:rsidRPr="009F3C1A" w:rsidRDefault="00B53747" w:rsidP="009F3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12.02.2023</w:t>
      </w:r>
      <w:r w:rsidR="006A2AAF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12.02.2024г.</w:t>
      </w:r>
      <w:r w:rsidR="009F3C1A" w:rsidRPr="009F3C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F3C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F3C1A" w:rsidRPr="009F3C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D60D9" w:rsidRDefault="00ED60D9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523A" w:rsidRPr="007C3D97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поселение </w:t>
      </w:r>
      <w:proofErr w:type="spellStart"/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</w:t>
      </w:r>
      <w:proofErr w:type="spellEnd"/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й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«24» сентября 2020г.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>35/1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393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</w:t>
      </w:r>
      <w:proofErr w:type="gramEnd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9F3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Микяшевский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:rsidR="00ED60D9" w:rsidRPr="000B5FE5" w:rsidRDefault="00AD062D" w:rsidP="00553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9F3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Микяшевский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proofErr w:type="gramStart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F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Микяшевский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Совета  сель</w:t>
      </w:r>
      <w:r w:rsidR="009F3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поселения  Микяшевский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 муниципального района Давлекановский район Рес</w:t>
      </w:r>
      <w:r w:rsidR="009F3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публики Башкортостан от  24.09.2020г. №_35/1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Микяшевский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используемые для осуществления деятельности, предусмотренной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 w:rsidR="009F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Микяшевский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="009F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ьского поселения Микяшевский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F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Микяшевский 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соответствии с его принадлежностью к той или иной категории земель и </w:t>
      </w:r>
      <w:r w:rsidR="00E74FC5" w:rsidRP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разрешенным видом </w:t>
      </w:r>
      <w:r w:rsidR="000620B1" w:rsidRP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181A86" w:rsidRP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1 категории </w:t>
      </w:r>
      <w:r w:rsidR="000620B1" w:rsidRP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землеустроителем</w:t>
      </w:r>
      <w:r w:rsidR="00181A86" w:rsidRP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администрации сельского поселения </w:t>
      </w:r>
      <w:r w:rsidR="009F3C1A" w:rsidRP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81A86" w:rsidRP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</w:t>
      </w:r>
      <w:proofErr w:type="gramEnd"/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(далее - Акт обследования).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подготавливается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1 категории землеустроителем 1 категории администрации сельского поселения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не по целевому назначению в соответствии с его принадлежностью к той или иной категории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Микяшевский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</w:t>
      </w:r>
      <w:proofErr w:type="gramEnd"/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proofErr w:type="gramStart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обоснования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3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икяшевский сельсовет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  <w:proofErr w:type="gramEnd"/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 </w:t>
      </w:r>
      <w:proofErr w:type="spellStart"/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</w:t>
      </w:r>
      <w:proofErr w:type="spellEnd"/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изб ок.№3)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сельского поселения </w:t>
      </w:r>
      <w:r w:rsidR="009F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в сети Интернет.</w:t>
      </w:r>
    </w:p>
    <w:p w:rsidR="009F3C1A" w:rsidRDefault="009F3C1A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1A" w:rsidRDefault="009F3C1A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1A" w:rsidRDefault="009F3C1A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1A" w:rsidRDefault="009F3C1A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7" w:rsidRPr="007C3D97" w:rsidRDefault="007C3D97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9F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="009F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Гайзуллин</w:t>
      </w:r>
      <w:proofErr w:type="spellEnd"/>
      <w:r w:rsidR="009F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95567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Микяшевский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CA01A8">
        <w:rPr>
          <w:spacing w:val="-18"/>
          <w:sz w:val="20"/>
          <w:szCs w:val="20"/>
        </w:rPr>
        <w:t>правоудостоверяющих</w:t>
      </w:r>
      <w:proofErr w:type="spellEnd"/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proofErr w:type="gramStart"/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  <w:proofErr w:type="gramEnd"/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  <w:proofErr w:type="gramEnd"/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955673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Микяшевский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B53747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 12.02.2024г.  №12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955673">
        <w:rPr>
          <w:rFonts w:ascii="Times New Roman" w:hAnsi="Times New Roman" w:cs="Times New Roman"/>
          <w:bCs/>
          <w:sz w:val="24"/>
          <w:szCs w:val="24"/>
        </w:rPr>
        <w:t xml:space="preserve"> Микяшевский 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вокзалов и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955673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Микяшевский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B5374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 12.02.2024г.  №12</w:t>
      </w: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="00C91407" w:rsidRPr="00F37443">
        <w:rPr>
          <w:sz w:val="24"/>
          <w:szCs w:val="24"/>
        </w:rPr>
        <w:t xml:space="preserve"> </w:t>
      </w:r>
      <w:r w:rsidR="0095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Микяшевский 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5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Микяшевский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</w:t>
      </w:r>
      <w:proofErr w:type="gram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955673">
        <w:rPr>
          <w:rFonts w:ascii="Times New Roman" w:hAnsi="Times New Roman"/>
          <w:sz w:val="24"/>
          <w:szCs w:val="24"/>
        </w:rPr>
        <w:t xml:space="preserve"> Микяшевский 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которых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55673">
        <w:rPr>
          <w:rFonts w:ascii="Times New Roman" w:hAnsi="Times New Roman"/>
          <w:sz w:val="24"/>
          <w:szCs w:val="24"/>
        </w:rPr>
        <w:t xml:space="preserve">Микяшевский </w:t>
      </w:r>
      <w:r w:rsidR="00387607" w:rsidRPr="00F37443">
        <w:rPr>
          <w:rFonts w:ascii="Times New Roman" w:hAnsi="Times New Roman"/>
          <w:sz w:val="24"/>
          <w:szCs w:val="24"/>
        </w:rPr>
        <w:t xml:space="preserve"> 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95567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Микяшевский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  <w:proofErr w:type="gramEnd"/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955673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Микяшевский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955673">
        <w:rPr>
          <w:rFonts w:ascii="Times New Roman" w:eastAsia="Times New Roman" w:hAnsi="Times New Roman" w:cs="Times New Roman"/>
          <w:sz w:val="24"/>
          <w:szCs w:val="24"/>
        </w:rPr>
        <w:t xml:space="preserve">Микяшевский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347DB7">
        <w:rPr>
          <w:rFonts w:ascii="Times New Roman" w:eastAsia="Times New Roman" w:hAnsi="Times New Roman" w:cs="Times New Roman"/>
          <w:sz w:val="24"/>
          <w:szCs w:val="24"/>
        </w:rPr>
        <w:t xml:space="preserve">Микяшевский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r w:rsidR="00347DB7">
        <w:rPr>
          <w:rFonts w:ascii="Times New Roman" w:eastAsia="Times New Roman" w:hAnsi="Times New Roman" w:cs="Times New Roman"/>
          <w:sz w:val="24"/>
          <w:szCs w:val="24"/>
        </w:rPr>
        <w:t xml:space="preserve">Микяшевский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34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Микяшевский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производственных и административных </w:t>
            </w:r>
            <w:r w:rsidRPr="00496D96">
              <w:rPr>
                <w:rFonts w:ascii="Times New Roman" w:hAnsi="Times New Roman"/>
              </w:rPr>
              <w:lastRenderedPageBreak/>
              <w:t>зданий</w:t>
            </w:r>
          </w:p>
          <w:p w:rsidR="00A53B88" w:rsidRPr="00496D96" w:rsidRDefault="00A53B88" w:rsidP="00B07BBB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</w:t>
            </w:r>
            <w:proofErr w:type="spellStart"/>
            <w:r w:rsidRPr="00496D96">
              <w:rPr>
                <w:rFonts w:ascii="Times New Roman" w:hAnsi="Times New Roman"/>
              </w:rPr>
              <w:t>дск</w:t>
            </w:r>
            <w:proofErr w:type="spellEnd"/>
            <w:r w:rsidRPr="00496D96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</w:t>
            </w:r>
            <w:proofErr w:type="spellStart"/>
            <w:r w:rsidRPr="00496D96">
              <w:rPr>
                <w:rFonts w:ascii="Times New Roman" w:hAnsi="Times New Roman"/>
              </w:rPr>
              <w:t>термошкафа</w:t>
            </w:r>
            <w:proofErr w:type="spellEnd"/>
            <w:r w:rsidRPr="00496D96">
              <w:rPr>
                <w:rFonts w:ascii="Times New Roman" w:hAnsi="Times New Roman"/>
              </w:rPr>
              <w:t xml:space="preserve">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</w:t>
            </w:r>
            <w:r w:rsidRPr="00496D96">
              <w:rPr>
                <w:rFonts w:ascii="Times New Roman" w:hAnsi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Из представленного анализа следует, что кадастровая стоимость земельных участков в среднем снизилась в 2-3 раза. </w:t>
      </w:r>
      <w:proofErr w:type="gramStart"/>
      <w:r w:rsidRPr="00F37443">
        <w:rPr>
          <w:rFonts w:ascii="Times New Roman" w:hAnsi="Times New Roman"/>
          <w:sz w:val="24"/>
          <w:szCs w:val="24"/>
        </w:rPr>
        <w:t>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347DB7">
        <w:rPr>
          <w:rFonts w:ascii="Times New Roman" w:hAnsi="Times New Roman"/>
          <w:sz w:val="24"/>
          <w:szCs w:val="24"/>
        </w:rPr>
        <w:t xml:space="preserve">Микяшевский 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</w:t>
      </w:r>
      <w:proofErr w:type="gramStart"/>
      <w:r w:rsidRPr="00F37443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добыча полезных ископаемых открытым (карьеры, отвалы) и закрытым (шахты,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скважины) способами;</w:t>
            </w:r>
            <w:proofErr w:type="gramEnd"/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Автомобиле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EB6D1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lastRenderedPageBreak/>
        <w:t xml:space="preserve">При этом ставки по </w:t>
      </w:r>
      <w:proofErr w:type="gramStart"/>
      <w:r w:rsidRPr="00F37443">
        <w:rPr>
          <w:rFonts w:ascii="Times New Roman" w:hAnsi="Times New Roman"/>
          <w:sz w:val="24"/>
          <w:szCs w:val="24"/>
        </w:rPr>
        <w:t>ВРИ связанные с торговлей в 2019 году были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установлены в следующем размере: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В предлагаемом проекте решения по указанным выше </w:t>
      </w:r>
      <w:proofErr w:type="gramStart"/>
      <w:r w:rsidRPr="00F37443">
        <w:rPr>
          <w:rFonts w:ascii="Times New Roman" w:hAnsi="Times New Roman"/>
          <w:sz w:val="24"/>
          <w:szCs w:val="24"/>
        </w:rPr>
        <w:t>ВРИ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</w:t>
      </w:r>
      <w:proofErr w:type="gramStart"/>
      <w:r w:rsidRPr="00F37443">
        <w:rPr>
          <w:rFonts w:ascii="Times New Roman" w:hAnsi="Times New Roman"/>
          <w:sz w:val="24"/>
          <w:szCs w:val="24"/>
        </w:rPr>
        <w:t>связи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AB" w:rsidRDefault="00A34FAB">
      <w:pPr>
        <w:spacing w:line="240" w:lineRule="auto"/>
      </w:pPr>
      <w:r>
        <w:separator/>
      </w:r>
    </w:p>
  </w:endnote>
  <w:endnote w:type="continuationSeparator" w:id="0">
    <w:p w:rsidR="00A34FAB" w:rsidRDefault="00A34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AB" w:rsidRDefault="00A34FAB">
      <w:pPr>
        <w:spacing w:after="0"/>
      </w:pPr>
      <w:r>
        <w:separator/>
      </w:r>
    </w:p>
  </w:footnote>
  <w:footnote w:type="continuationSeparator" w:id="0">
    <w:p w:rsidR="00A34FAB" w:rsidRDefault="00A34F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6F39"/>
    <w:rsid w:val="000400C4"/>
    <w:rsid w:val="00060A1D"/>
    <w:rsid w:val="000620B1"/>
    <w:rsid w:val="00065395"/>
    <w:rsid w:val="000923A6"/>
    <w:rsid w:val="00096E07"/>
    <w:rsid w:val="000A64C9"/>
    <w:rsid w:val="000B2BC5"/>
    <w:rsid w:val="000B5FE5"/>
    <w:rsid w:val="00123A8E"/>
    <w:rsid w:val="001270DA"/>
    <w:rsid w:val="001575DB"/>
    <w:rsid w:val="00181A86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42C0"/>
    <w:rsid w:val="002B6104"/>
    <w:rsid w:val="002C0C15"/>
    <w:rsid w:val="00310425"/>
    <w:rsid w:val="00322977"/>
    <w:rsid w:val="00347DB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92858"/>
    <w:rsid w:val="004B5490"/>
    <w:rsid w:val="004B56DF"/>
    <w:rsid w:val="004C3513"/>
    <w:rsid w:val="004D25E0"/>
    <w:rsid w:val="004E523A"/>
    <w:rsid w:val="004E6488"/>
    <w:rsid w:val="004F1EB1"/>
    <w:rsid w:val="005049DF"/>
    <w:rsid w:val="00523DCA"/>
    <w:rsid w:val="00542296"/>
    <w:rsid w:val="00553393"/>
    <w:rsid w:val="00562553"/>
    <w:rsid w:val="00572C2C"/>
    <w:rsid w:val="0059615C"/>
    <w:rsid w:val="005962C1"/>
    <w:rsid w:val="005C464C"/>
    <w:rsid w:val="005C7F91"/>
    <w:rsid w:val="0062327C"/>
    <w:rsid w:val="006247FD"/>
    <w:rsid w:val="006513A5"/>
    <w:rsid w:val="006611F8"/>
    <w:rsid w:val="00694580"/>
    <w:rsid w:val="006A2AAF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7349"/>
    <w:rsid w:val="00875E2C"/>
    <w:rsid w:val="008E66AA"/>
    <w:rsid w:val="008F44B5"/>
    <w:rsid w:val="009129F8"/>
    <w:rsid w:val="009141C8"/>
    <w:rsid w:val="009244A9"/>
    <w:rsid w:val="00955673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9F3C1A"/>
    <w:rsid w:val="009F4DE6"/>
    <w:rsid w:val="00A02A6D"/>
    <w:rsid w:val="00A34FAB"/>
    <w:rsid w:val="00A53B88"/>
    <w:rsid w:val="00A55D97"/>
    <w:rsid w:val="00A70A3F"/>
    <w:rsid w:val="00AB0602"/>
    <w:rsid w:val="00AB69F6"/>
    <w:rsid w:val="00AC7F68"/>
    <w:rsid w:val="00AD062D"/>
    <w:rsid w:val="00B00C0A"/>
    <w:rsid w:val="00B07BBB"/>
    <w:rsid w:val="00B534C4"/>
    <w:rsid w:val="00B53747"/>
    <w:rsid w:val="00B71575"/>
    <w:rsid w:val="00B87FC0"/>
    <w:rsid w:val="00BB231C"/>
    <w:rsid w:val="00BD3792"/>
    <w:rsid w:val="00BD3DA8"/>
    <w:rsid w:val="00BF2372"/>
    <w:rsid w:val="00C04C7C"/>
    <w:rsid w:val="00C066CF"/>
    <w:rsid w:val="00C36D5A"/>
    <w:rsid w:val="00C46BFE"/>
    <w:rsid w:val="00C730D5"/>
    <w:rsid w:val="00C833C7"/>
    <w:rsid w:val="00C8459A"/>
    <w:rsid w:val="00C91407"/>
    <w:rsid w:val="00C962FD"/>
    <w:rsid w:val="00CA01A8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74FC5"/>
    <w:rsid w:val="00EA2723"/>
    <w:rsid w:val="00EB642C"/>
    <w:rsid w:val="00EC6864"/>
    <w:rsid w:val="00EC7630"/>
    <w:rsid w:val="00ED60D9"/>
    <w:rsid w:val="00EE592E"/>
    <w:rsid w:val="00EF11B7"/>
    <w:rsid w:val="00F11A4C"/>
    <w:rsid w:val="00F37443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6E7D-6301-487F-9265-6B05815D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</cp:lastModifiedBy>
  <cp:revision>22</cp:revision>
  <cp:lastPrinted>2024-02-12T04:34:00Z</cp:lastPrinted>
  <dcterms:created xsi:type="dcterms:W3CDTF">2024-02-02T12:47:00Z</dcterms:created>
  <dcterms:modified xsi:type="dcterms:W3CDTF">2024-02-12T04:35:00Z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