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B3" w:rsidRPr="00572F10" w:rsidRDefault="002421B3" w:rsidP="002421B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72F10">
        <w:rPr>
          <w:rFonts w:ascii="Times New Roman" w:hAnsi="Times New Roman" w:cs="Times New Roman"/>
          <w:caps/>
          <w:sz w:val="28"/>
          <w:szCs w:val="28"/>
        </w:rPr>
        <w:t>Администрация сельского поселения К</w:t>
      </w:r>
      <w:r w:rsidR="00596C08" w:rsidRPr="00572F10">
        <w:rPr>
          <w:rFonts w:ascii="Times New Roman" w:hAnsi="Times New Roman" w:cs="Times New Roman"/>
          <w:caps/>
          <w:sz w:val="28"/>
          <w:szCs w:val="28"/>
        </w:rPr>
        <w:t>идряче</w:t>
      </w:r>
      <w:r w:rsidRPr="00572F10">
        <w:rPr>
          <w:rFonts w:ascii="Times New Roman" w:hAnsi="Times New Roman" w:cs="Times New Roman"/>
          <w:caps/>
          <w:sz w:val="28"/>
          <w:szCs w:val="28"/>
        </w:rPr>
        <w:t>вский сельсовет муниципального района Давлекановский район Республики Башкортостан</w:t>
      </w:r>
    </w:p>
    <w:p w:rsidR="00AE2BFD" w:rsidRPr="00572F1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E2BFD" w:rsidRPr="00000CA9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000CA9" w:rsidRDefault="00572F1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AE2BFD" w:rsidRPr="00000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E2BFD" w:rsidRPr="00000C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E2BFD" w:rsidRPr="00000CA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E2BFD" w:rsidRPr="00000CA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000CA9" w:rsidRDefault="00AE2BFD" w:rsidP="0000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000CA9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000CA9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000CA9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000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C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21B3" w:rsidRPr="00000CA9">
        <w:rPr>
          <w:rFonts w:ascii="Times New Roman" w:hAnsi="Times New Roman" w:cs="Times New Roman"/>
          <w:sz w:val="28"/>
          <w:szCs w:val="28"/>
        </w:rPr>
        <w:t>сельском поселении К</w:t>
      </w:r>
      <w:r w:rsidR="00596C08" w:rsidRPr="00000CA9">
        <w:rPr>
          <w:rFonts w:ascii="Times New Roman" w:hAnsi="Times New Roman" w:cs="Times New Roman"/>
          <w:sz w:val="28"/>
          <w:szCs w:val="28"/>
        </w:rPr>
        <w:t>идряче</w:t>
      </w:r>
      <w:r w:rsidR="002421B3" w:rsidRPr="00000CA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2421B3" w:rsidRPr="00000CA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000C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Default="00B5216E" w:rsidP="00622FA3">
      <w:pPr>
        <w:pStyle w:val="af3"/>
        <w:rPr>
          <w:rFonts w:ascii="Times New Roman" w:hAnsi="Times New Roman"/>
          <w:sz w:val="28"/>
          <w:szCs w:val="28"/>
        </w:rPr>
      </w:pPr>
    </w:p>
    <w:p w:rsidR="00000CA9" w:rsidRPr="00000CA9" w:rsidRDefault="00000CA9" w:rsidP="00622FA3">
      <w:pPr>
        <w:pStyle w:val="af3"/>
        <w:rPr>
          <w:rFonts w:ascii="Times New Roman" w:hAnsi="Times New Roman"/>
          <w:sz w:val="28"/>
          <w:szCs w:val="28"/>
        </w:rPr>
      </w:pPr>
    </w:p>
    <w:p w:rsidR="00B647CB" w:rsidRPr="00596C08" w:rsidRDefault="00B647CB" w:rsidP="005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572F1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21B3" w:rsidRPr="00F162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596C08">
        <w:rPr>
          <w:rFonts w:ascii="Times New Roman" w:hAnsi="Times New Roman" w:cs="Times New Roman"/>
          <w:sz w:val="28"/>
          <w:szCs w:val="28"/>
        </w:rPr>
        <w:t>идряче</w:t>
      </w:r>
      <w:r w:rsidR="002421B3" w:rsidRPr="00F1629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2421B3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96C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96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6C08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596C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96C08">
        <w:rPr>
          <w:rFonts w:ascii="Times New Roman" w:hAnsi="Times New Roman" w:cs="Times New Roman"/>
          <w:sz w:val="28"/>
          <w:szCs w:val="28"/>
        </w:rPr>
        <w:t xml:space="preserve"> в л я ю</w:t>
      </w:r>
      <w:r w:rsidRPr="00EA7593">
        <w:rPr>
          <w:szCs w:val="28"/>
        </w:rPr>
        <w:t>:</w:t>
      </w:r>
    </w:p>
    <w:p w:rsidR="002421B3" w:rsidRPr="00596C08" w:rsidRDefault="00920CBD" w:rsidP="00596C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596C08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21B3" w:rsidRPr="002421B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00CA9" w:rsidRPr="00000CA9" w:rsidRDefault="00000CA9" w:rsidP="00000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B3">
        <w:rPr>
          <w:rFonts w:ascii="Times New Roman" w:hAnsi="Times New Roman" w:cs="Times New Roman"/>
          <w:sz w:val="28"/>
          <w:szCs w:val="28"/>
        </w:rPr>
        <w:t>2.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00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</w:t>
      </w:r>
      <w:proofErr w:type="spell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8г. № 75/3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Администрацией сельского поселения Кидрячевский сельсовет муниципального района </w:t>
      </w:r>
      <w:proofErr w:type="spell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</w:t>
      </w:r>
      <w:proofErr w:type="gram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земельных участков, находящихся в частной собственности».</w:t>
      </w:r>
    </w:p>
    <w:p w:rsidR="00AE2BFD" w:rsidRPr="00EA7593" w:rsidRDefault="00AE2BFD" w:rsidP="002421B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1B3" w:rsidRPr="002421B3" w:rsidRDefault="00000CA9" w:rsidP="002421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2421B3">
        <w:rPr>
          <w:rFonts w:ascii="Times New Roman" w:hAnsi="Times New Roman" w:cs="Times New Roman"/>
          <w:sz w:val="28"/>
          <w:szCs w:val="28"/>
        </w:rPr>
        <w:t xml:space="preserve">. </w:t>
      </w:r>
      <w:r w:rsidR="002421B3" w:rsidRPr="002421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421B3" w:rsidRPr="0079691D" w:rsidRDefault="00000CA9" w:rsidP="002421B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1B3" w:rsidRPr="0079691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 в установленном порядке и размещению на официальном сайте Совета </w:t>
      </w:r>
      <w:r w:rsidR="002421B3" w:rsidRPr="0079691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2421B3" w:rsidRPr="0079691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2421B3" w:rsidRPr="0079691D">
        <w:rPr>
          <w:rFonts w:ascii="Times New Roman" w:hAnsi="Times New Roman"/>
          <w:sz w:val="28"/>
          <w:szCs w:val="28"/>
        </w:rPr>
        <w:t xml:space="preserve"> район Республики Башкортостан  (в разделе «Поселения муниципального района»).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7C" w:rsidRPr="00EA7593" w:rsidRDefault="00000CA9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EA75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21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21B3" w:rsidRPr="004A1C77" w:rsidRDefault="00596C08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 w:rsidR="002421B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EE117C" w:rsidRDefault="00EE117C" w:rsidP="002421B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21B3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C08"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 xml:space="preserve">от </w:t>
      </w:r>
      <w:r w:rsidR="00572F10">
        <w:rPr>
          <w:rFonts w:ascii="Times New Roman" w:hAnsi="Times New Roman" w:cs="Times New Roman"/>
          <w:sz w:val="28"/>
          <w:szCs w:val="28"/>
        </w:rPr>
        <w:t>01.03.</w:t>
      </w:r>
      <w:r w:rsidRPr="008821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572F10">
        <w:rPr>
          <w:rFonts w:ascii="Times New Roman" w:hAnsi="Times New Roman" w:cs="Times New Roman"/>
          <w:sz w:val="28"/>
          <w:szCs w:val="28"/>
        </w:rPr>
        <w:t xml:space="preserve"> года №7</w:t>
      </w:r>
      <w:bookmarkStart w:id="0" w:name="_GoBack"/>
      <w:bookmarkEnd w:id="0"/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96C08" w:rsidRDefault="00AE2BFD" w:rsidP="0059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="00596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421B3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b/>
          <w:sz w:val="28"/>
          <w:szCs w:val="28"/>
        </w:rPr>
        <w:t>Кидрячевский</w:t>
      </w:r>
      <w:r w:rsidR="002421B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421B3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2421B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Default="007A0AB8" w:rsidP="00242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sz w:val="28"/>
          <w:szCs w:val="28"/>
        </w:rPr>
        <w:lastRenderedPageBreak/>
        <w:t>Кидрячевский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21B3" w:rsidRPr="002421B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0CA9">
        <w:rPr>
          <w:rFonts w:ascii="Times New Roman" w:hAnsi="Times New Roman" w:cs="Times New Roman"/>
          <w:sz w:val="28"/>
          <w:szCs w:val="28"/>
        </w:rPr>
        <w:t>.</w:t>
      </w:r>
    </w:p>
    <w:p w:rsidR="007A0AB8" w:rsidRDefault="007A0AB8" w:rsidP="00000CA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</w:t>
      </w:r>
      <w:proofErr w:type="gramStart"/>
      <w:r w:rsidR="000D3A9A" w:rsidRPr="00EA7593">
        <w:rPr>
          <w:rFonts w:ascii="Times New Roman" w:hAnsi="Times New Roman" w:cs="Times New Roman"/>
          <w:sz w:val="28"/>
          <w:szCs w:val="28"/>
        </w:rPr>
        <w:t>и</w:t>
      </w:r>
      <w:r w:rsidR="00A3722A"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722A" w:rsidRPr="00EA7593">
        <w:rPr>
          <w:rFonts w:ascii="Times New Roman" w:hAnsi="Times New Roman" w:cs="Times New Roman"/>
          <w:sz w:val="28"/>
          <w:szCs w:val="28"/>
        </w:rPr>
        <w:t>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42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596C08" w:rsidRPr="00596C08" w:rsidRDefault="00596C08" w:rsidP="0059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9" w:history="1">
        <w:r w:rsidRPr="00596C0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96C08" w:rsidRPr="00596C08" w:rsidRDefault="00596C08" w:rsidP="0059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10" w:history="1">
        <w:r w:rsidRPr="00596C0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EA7593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AF487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F4879">
        <w:rPr>
          <w:rFonts w:ascii="Times New Roman" w:hAnsi="Times New Roman" w:cs="Times New Roman"/>
          <w:sz w:val="28"/>
          <w:szCs w:val="28"/>
        </w:rPr>
        <w:t>Администрацией сельского поселения К</w:t>
      </w:r>
      <w:r w:rsidR="00596C08">
        <w:rPr>
          <w:rFonts w:ascii="Times New Roman" w:hAnsi="Times New Roman" w:cs="Times New Roman"/>
          <w:sz w:val="28"/>
          <w:szCs w:val="28"/>
        </w:rPr>
        <w:t>идряче</w:t>
      </w:r>
      <w:r w:rsidR="00AF487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AF48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F48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</w:t>
      </w:r>
      <w:r w:rsidRPr="00EA7593">
        <w:rPr>
          <w:rFonts w:ascii="Times New Roman" w:hAnsi="Times New Roman" w:cs="Times New Roman"/>
          <w:sz w:val="28"/>
        </w:rPr>
        <w:lastRenderedPageBreak/>
        <w:t xml:space="preserve">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</w:t>
      </w:r>
      <w:proofErr w:type="gramStart"/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1913C6">
        <w:rPr>
          <w:rFonts w:ascii="Times New Roman" w:eastAsia="Calibri" w:hAnsi="Times New Roman" w:cs="Times New Roman"/>
          <w:sz w:val="28"/>
        </w:rPr>
        <w:t>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proofErr w:type="gramStart"/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>д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Схема расположения земельного участка или земельных участков 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Копии правоустанавливающих или право</w:t>
      </w:r>
      <w:r w:rsidR="0059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lastRenderedPageBreak/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71B5">
        <w:rPr>
          <w:rFonts w:ascii="Times New Roman" w:hAnsi="Times New Roman" w:cs="Times New Roman"/>
          <w:sz w:val="28"/>
          <w:szCs w:val="28"/>
        </w:rPr>
        <w:t>непредусмотрены</w:t>
      </w:r>
      <w:proofErr w:type="spellEnd"/>
      <w:r w:rsidR="004C71B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A659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простой электронной подписи заявитель должен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AF4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7B1404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proofErr w:type="spellStart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РПГУ</w:t>
      </w:r>
      <w:proofErr w:type="gramStart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AF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AF4879" w:rsidRDefault="007B1404" w:rsidP="00AF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4879" w:rsidRPr="00AF4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C08" w:rsidRPr="00596C08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AF4879" w:rsidRPr="00AF48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F4879" w:rsidRPr="00AF48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F4879" w:rsidRPr="00AF48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48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7B1404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</w:t>
      </w:r>
      <w:r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адресу, указанному в обращении, поступившем в РГАУ МФЦ в письменной форме. 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proofErr w:type="spellStart"/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0266C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 w:rsidR="00596C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30DE4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 w:rsidR="00596C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377F0" w:rsidRDefault="00C377F0" w:rsidP="00892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:rsidR="005B4F07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муниципального образования)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BD6CC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hAnsi="Times New Roman" w:cs="Times New Roman"/>
          <w:sz w:val="28"/>
          <w:szCs w:val="28"/>
        </w:rPr>
        <w:t>я</w:t>
      </w:r>
      <w:r w:rsidRPr="001C0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BD6CC0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6B627A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(фамилия, инициалы руководителя</w:t>
      </w:r>
      <w:proofErr w:type="gramEnd"/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2421B3">
          <w:headerReference w:type="defaul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B82B8C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1F6F7F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eastAsia="Calibri" w:hAnsi="Times New Roman" w:cs="Times New Roman"/>
          <w:sz w:val="28"/>
          <w:szCs w:val="28"/>
        </w:rPr>
        <w:t>я</w:t>
      </w:r>
      <w:r w:rsidRPr="00B82B8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1A38F2" w:rsidRPr="001F6F7F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82B8C" w:rsidRPr="00B82B8C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E65974" w:rsidRDefault="00596C08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E65974" w:rsidRDefault="00E65974" w:rsidP="00596C08">
            <w:pPr>
              <w:spacing w:after="0" w:line="240" w:lineRule="auto"/>
              <w:ind w:left="279" w:right="28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596C08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</w:t>
            </w:r>
            <w:proofErr w:type="spellEnd"/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аключение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соглашенияо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перераспределении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земельи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(или) земельных участков, находящихся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регламенту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взаключении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исьменной</w:t>
            </w:r>
            <w:proofErr w:type="spell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4" w:rsidRDefault="007B1404">
      <w:pPr>
        <w:spacing w:after="0" w:line="240" w:lineRule="auto"/>
      </w:pPr>
      <w:r>
        <w:separator/>
      </w:r>
    </w:p>
  </w:endnote>
  <w:endnote w:type="continuationSeparator" w:id="0">
    <w:p w:rsidR="007B1404" w:rsidRDefault="007B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4" w:rsidRDefault="007B1404">
      <w:pPr>
        <w:spacing w:after="0" w:line="240" w:lineRule="auto"/>
      </w:pPr>
      <w:r>
        <w:separator/>
      </w:r>
    </w:p>
  </w:footnote>
  <w:footnote w:type="continuationSeparator" w:id="0">
    <w:p w:rsidR="007B1404" w:rsidRDefault="007B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1B3" w:rsidRPr="00515076" w:rsidRDefault="002421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2F1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1B3" w:rsidRDefault="00242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CA9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21B3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57E8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2F1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6C08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1404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203A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4879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13F21"/>
    <w:rsid w:val="00D1724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6CE3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565BF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4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4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1FAA-019E-4F11-B2FE-CE94E27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18417</Words>
  <Characters>104977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7</cp:revision>
  <cp:lastPrinted>2021-12-22T10:49:00Z</cp:lastPrinted>
  <dcterms:created xsi:type="dcterms:W3CDTF">2022-02-28T04:16:00Z</dcterms:created>
  <dcterms:modified xsi:type="dcterms:W3CDTF">2022-03-01T11:19:00Z</dcterms:modified>
</cp:coreProperties>
</file>