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A8" w:rsidRPr="00513E84" w:rsidRDefault="007456A8" w:rsidP="00513E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Имай-Кармалинский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7456A8" w:rsidRPr="00513E84" w:rsidRDefault="007456A8" w:rsidP="00513E8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7456A8" w:rsidRPr="00513E84" w:rsidRDefault="007456A8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7456A8" w:rsidRPr="00513E84" w:rsidRDefault="007456A8" w:rsidP="00513E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456A8" w:rsidRPr="00513E84" w:rsidRDefault="007456A8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7456A8" w:rsidRPr="00513E84" w:rsidRDefault="007456A8" w:rsidP="00513E84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>30 декабря 2019г.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87</w:t>
      </w:r>
    </w:p>
    <w:p w:rsidR="007456A8" w:rsidRPr="00513E84" w:rsidRDefault="007456A8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13E84">
        <w:rPr>
          <w:rFonts w:ascii="Times New Roman" w:hAnsi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hAnsi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7456A8" w:rsidRDefault="007456A8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санкционировании оплаты денежных обязательств получателей средств бюджета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</w:t>
      </w:r>
      <w:r w:rsidRPr="005B2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Давлекановский район </w:t>
      </w:r>
    </w:p>
    <w:p w:rsidR="007456A8" w:rsidRPr="00513E84" w:rsidRDefault="007456A8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Башкортостан </w:t>
      </w:r>
    </w:p>
    <w:p w:rsidR="007456A8" w:rsidRPr="00513E84" w:rsidRDefault="007456A8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7456A8" w:rsidRPr="003705C7" w:rsidRDefault="007456A8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>В соответствии со статьей 219 и 219.2 Бюджетног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кодекса Российской Федерации, </w:t>
      </w:r>
      <w:hyperlink r:id="rId6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>ке Башкортостан»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7456A8" w:rsidRPr="003705C7" w:rsidRDefault="007456A8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05C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Соколовский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05C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7456A8" w:rsidRPr="003705C7" w:rsidRDefault="007456A8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>01 ноября 2010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7456A8" w:rsidRPr="003705C7" w:rsidRDefault="007456A8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7456A8" w:rsidRPr="003705C7" w:rsidRDefault="007456A8" w:rsidP="00370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456A8" w:rsidRPr="003705C7" w:rsidRDefault="007456A8" w:rsidP="003705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6A8" w:rsidRDefault="007456A8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6A8" w:rsidRPr="00513E84" w:rsidRDefault="007456A8" w:rsidP="00513E84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6A8" w:rsidRPr="00513E84" w:rsidRDefault="007456A8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7456A8" w:rsidRPr="00513E84" w:rsidRDefault="007456A8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7456A8" w:rsidRPr="00513E84" w:rsidRDefault="007456A8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7456A8" w:rsidRPr="00513E84" w:rsidRDefault="007456A8" w:rsidP="00513E8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7456A8" w:rsidRPr="00513E84" w:rsidRDefault="007456A8" w:rsidP="00513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456A8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Х.Р.Заманов</w:t>
      </w:r>
    </w:p>
    <w:p w:rsidR="007456A8" w:rsidRPr="00513E84" w:rsidRDefault="007456A8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7456A8" w:rsidRPr="00513E84" w:rsidRDefault="007456A8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7456A8" w:rsidRPr="00513E84" w:rsidRDefault="007456A8" w:rsidP="00513E84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30.12.2019г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 № </w:t>
      </w:r>
      <w:r>
        <w:rPr>
          <w:rFonts w:ascii="Times New Roman" w:hAnsi="Times New Roman"/>
          <w:sz w:val="28"/>
          <w:szCs w:val="24"/>
          <w:lang w:eastAsia="ru-RU"/>
        </w:rPr>
        <w:t>87</w:t>
      </w:r>
    </w:p>
    <w:p w:rsidR="007456A8" w:rsidRDefault="007456A8" w:rsidP="00B6503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7456A8" w:rsidRDefault="007456A8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санкционирования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оплаты денежных обязательств получателей средств бюджета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Давлекановский район </w:t>
      </w:r>
    </w:p>
    <w:p w:rsidR="007456A8" w:rsidRPr="00513E84" w:rsidRDefault="007456A8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Республики Башкортостан </w:t>
      </w:r>
    </w:p>
    <w:p w:rsidR="007456A8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 счет средств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поселение ----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69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4"/>
      <w:bookmarkEnd w:id="1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5"/>
      <w:bookmarkEnd w:id="2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4. Уполномоченные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7"/>
      <w:bookmarkEnd w:id="3"/>
      <w:r w:rsidRPr="00A51E47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0"/>
      <w:bookmarkEnd w:id="4"/>
      <w:r w:rsidRPr="00A51E47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вида средств;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номера учтенного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59"/>
    <w:bookmarkEnd w:id="5"/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731574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договора аренды;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Алгинский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бюджетному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66"/>
    <w:bookmarkEnd w:id="6"/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731574">
        <w:rPr>
          <w:rFonts w:ascii="Times New Roman" w:hAnsi="Times New Roman" w:cs="Times New Roman"/>
          <w:color w:val="000000"/>
          <w:sz w:val="28"/>
          <w:szCs w:val="28"/>
        </w:rPr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форма 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уникального номера реестровой записи, присвоенного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заключенных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по итогам размещения заказов (далее - реестр контрактов).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Pr="003C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3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Имай-Кармалинский </w:t>
      </w:r>
      <w:r w:rsidRPr="00513E84">
        <w:rPr>
          <w:rFonts w:ascii="Times New Roman" w:hAnsi="Times New Roman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применяются в отношении Заявки при: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82"/>
      <w:bookmarkEnd w:id="7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3"/>
      <w:bookmarkEnd w:id="8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контрактом, предусматривающим обязанность получателя средств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-----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контракту, платежный документ на перечисление в доход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суммы неусто</w:t>
      </w:r>
      <w:r>
        <w:rPr>
          <w:rFonts w:ascii="Times New Roman" w:hAnsi="Times New Roman" w:cs="Times New Roman"/>
          <w:color w:val="000000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8. 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сельского поселения 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органов местного самоуправления сельского поселения ----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либо должностных лиц этих органов.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92"/>
      <w:bookmarkEnd w:id="9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9.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-----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заказчиком, справок о стоимости выполненных работи затрат (унифицированная </w:t>
      </w:r>
      <w:hyperlink r:id="rId1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-----сельсовет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---- сельсовет муниципального района Давлекановский район</w:t>
      </w:r>
      <w:r w:rsidRPr="00E84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копии документов подлежат хранению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98"/>
      <w:bookmarkEnd w:id="10"/>
      <w:r w:rsidRPr="00A51E47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106"/>
      <w:bookmarkEnd w:id="11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5) не превышение суммы кассового расхода над суммой неисполненного бюджетного обязательства;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8) не превышение размера авансового платежа по бюджетному обязательству и платежу;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контракту условиям 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>
        <w:rPr>
          <w:rFonts w:ascii="Times New Roman" w:hAnsi="Times New Roman" w:cs="Times New Roman"/>
          <w:color w:val="000000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127"/>
      <w:bookmarkEnd w:id="12"/>
      <w:r w:rsidRPr="00A51E47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3) не 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131"/>
      <w:bookmarkEnd w:id="13"/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указанием причины возврата.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7456A8" w:rsidRPr="00A51E47" w:rsidRDefault="007456A8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E47">
        <w:rPr>
          <w:rFonts w:ascii="Times New Roman" w:hAnsi="Times New Roman" w:cs="Times New Roman"/>
          <w:color w:val="000000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7456A8" w:rsidRDefault="007456A8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Pr="00A51E47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A51E47">
        <w:rPr>
          <w:rFonts w:ascii="Times New Roman" w:hAnsi="Times New Roman" w:cs="Times New Roman"/>
          <w:color w:val="000000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7456A8" w:rsidRPr="00A51E47" w:rsidRDefault="007456A8" w:rsidP="00A51E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456A8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A8" w:rsidRDefault="007456A8" w:rsidP="00513E84">
      <w:pPr>
        <w:spacing w:after="0" w:line="240" w:lineRule="auto"/>
      </w:pPr>
      <w:r>
        <w:separator/>
      </w:r>
    </w:p>
  </w:endnote>
  <w:endnote w:type="continuationSeparator" w:id="0">
    <w:p w:rsidR="007456A8" w:rsidRDefault="007456A8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A8" w:rsidRDefault="007456A8" w:rsidP="00513E84">
      <w:pPr>
        <w:spacing w:after="0" w:line="240" w:lineRule="auto"/>
      </w:pPr>
      <w:r>
        <w:separator/>
      </w:r>
    </w:p>
  </w:footnote>
  <w:footnote w:type="continuationSeparator" w:id="0">
    <w:p w:rsidR="007456A8" w:rsidRDefault="007456A8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47"/>
    <w:rsid w:val="00090EA1"/>
    <w:rsid w:val="00237BD2"/>
    <w:rsid w:val="0024411F"/>
    <w:rsid w:val="00281571"/>
    <w:rsid w:val="003705C7"/>
    <w:rsid w:val="003C5773"/>
    <w:rsid w:val="004444E4"/>
    <w:rsid w:val="004914CA"/>
    <w:rsid w:val="004A405D"/>
    <w:rsid w:val="00513E84"/>
    <w:rsid w:val="005B22EE"/>
    <w:rsid w:val="00666F32"/>
    <w:rsid w:val="00676402"/>
    <w:rsid w:val="00697CC7"/>
    <w:rsid w:val="00731574"/>
    <w:rsid w:val="00735F18"/>
    <w:rsid w:val="00737069"/>
    <w:rsid w:val="007456A8"/>
    <w:rsid w:val="00821DA9"/>
    <w:rsid w:val="00A25EDA"/>
    <w:rsid w:val="00A51E47"/>
    <w:rsid w:val="00AD2B43"/>
    <w:rsid w:val="00AF4F16"/>
    <w:rsid w:val="00B512E5"/>
    <w:rsid w:val="00B6503A"/>
    <w:rsid w:val="00BD6F71"/>
    <w:rsid w:val="00D33A86"/>
    <w:rsid w:val="00D427B7"/>
    <w:rsid w:val="00D574C2"/>
    <w:rsid w:val="00DD5900"/>
    <w:rsid w:val="00DF6593"/>
    <w:rsid w:val="00E84539"/>
    <w:rsid w:val="00F64CAC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E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3E8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A51E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51E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5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3E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3E8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64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10</Pages>
  <Words>4341</Words>
  <Characters>24749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Мирсаяпова Альбина Ахнафовна</dc:creator>
  <cp:keywords/>
  <dc:description/>
  <cp:lastModifiedBy>Delo</cp:lastModifiedBy>
  <cp:revision>16</cp:revision>
  <dcterms:created xsi:type="dcterms:W3CDTF">2018-08-10T06:25:00Z</dcterms:created>
  <dcterms:modified xsi:type="dcterms:W3CDTF">2020-02-04T10:02:00Z</dcterms:modified>
</cp:coreProperties>
</file>