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24" w:rsidRDefault="001C5D24" w:rsidP="00321E25">
      <w:pPr>
        <w:suppressAutoHyphens/>
        <w:jc w:val="center"/>
        <w:rPr>
          <w:b/>
          <w:sz w:val="28"/>
          <w:szCs w:val="28"/>
        </w:rPr>
      </w:pPr>
    </w:p>
    <w:p w:rsidR="001C5D24" w:rsidRDefault="001C5D24" w:rsidP="00321E25">
      <w:pPr>
        <w:suppressAutoHyphens/>
        <w:jc w:val="center"/>
        <w:rPr>
          <w:b/>
          <w:sz w:val="28"/>
          <w:szCs w:val="28"/>
        </w:rPr>
      </w:pPr>
    </w:p>
    <w:p w:rsidR="001C5D24" w:rsidRPr="00C809F5" w:rsidRDefault="001C5D24" w:rsidP="007A592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                                              ПРОЕКТ ПОСТАНОВЛЕНИЯ</w:t>
      </w:r>
    </w:p>
    <w:p w:rsidR="001C5D24" w:rsidRPr="00C809F5" w:rsidRDefault="001C5D24" w:rsidP="00C809F5">
      <w:pPr>
        <w:pStyle w:val="NoSpacing"/>
        <w:ind w:firstLine="709"/>
        <w:jc w:val="both"/>
        <w:rPr>
          <w:sz w:val="28"/>
          <w:szCs w:val="28"/>
        </w:rPr>
      </w:pPr>
    </w:p>
    <w:p w:rsidR="001C5D24" w:rsidRDefault="001C5D24" w:rsidP="00C809F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Алгинский сельсовет муниципального района Давлекановский район Республики Башкортостан</w:t>
      </w:r>
    </w:p>
    <w:p w:rsidR="001C5D24" w:rsidRDefault="001C5D24" w:rsidP="00C809F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3E355B">
        <w:rPr>
          <w:rFonts w:ascii="Times New Roman" w:hAnsi="Times New Roman"/>
          <w:sz w:val="28"/>
          <w:szCs w:val="28"/>
        </w:rPr>
        <w:t xml:space="preserve">поселения Алгинский сельсовет </w:t>
      </w:r>
      <w:r w:rsidRPr="00C809F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 постановляет: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C5D24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Pr="00C809F5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                                                 </w:t>
      </w: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Приложение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3E355B">
        <w:rPr>
          <w:rFonts w:ascii="Times New Roman" w:hAnsi="Times New Roman"/>
          <w:sz w:val="24"/>
          <w:szCs w:val="24"/>
        </w:rPr>
        <w:t>Алгинский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Давлекановский  район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1C5D24" w:rsidRPr="00C809F5" w:rsidRDefault="001C5D24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____   _________2020 г. № ___  </w:t>
      </w:r>
    </w:p>
    <w:p w:rsidR="001C5D24" w:rsidRPr="00C809F5" w:rsidRDefault="001C5D24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Порядок</w:t>
      </w:r>
    </w:p>
    <w:p w:rsidR="001C5D24" w:rsidRDefault="001C5D24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1C5D24" w:rsidRDefault="001C5D24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</w:t>
      </w:r>
    </w:p>
    <w:p w:rsidR="001C5D24" w:rsidRDefault="001C5D24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</w:t>
      </w:r>
    </w:p>
    <w:p w:rsidR="001C5D24" w:rsidRPr="00C809F5" w:rsidRDefault="001C5D24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C5D24" w:rsidRPr="00C809F5" w:rsidRDefault="001C5D24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методику оценки налоговых расходов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не относящимися к муниципальным программам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относящихся к муниципальным программам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реализуемым в рамках нескольких муниципальных программ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(муниципальных программ сельского поселения </w:t>
      </w:r>
      <w:r w:rsidRPr="003E355B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непрограммных направлений деятельности);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иные характеристики, предусмотренные разделом III приложения к настоящему Порядку;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формирует перечень налоговых расходов;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ведет реестр налоговых расходов;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II. Формирование перечня налоговых расходов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6.  Перечень налоговых расходов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7. Проект перечня налоговых расходов на очередной финансовый год и плановый период формируется администрацией сельского поселения 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иным органам, организациям, полномочия учредите  в отношении которых исполняет администрация сельского поселения, которые предлагается закрепить в качестве кураторов налоговых расходов.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8. 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кураторам налоговых расходов, и в случае несогласия с указанным распределением направляют в сельское поселение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 xml:space="preserve">Алгинский </w:t>
      </w:r>
      <w:r w:rsidRPr="00C809F5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сельское поселение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10. 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формирования проекта решения Совета депутатов поселения о бюджете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III. Оценка эффективности налоговых расходов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12. В целях оценки эффективности налоговых расходов: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 Приложению №2;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оценку целесообразности предоставления налоговых расходов;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14. Критериями целесообразности налоговых расходов являются: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(в отношении непрограммных налоговых расходов);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 включает оценку бюджетной эффективности налогового расхода.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Башкортостан), на значение которого оказывает влияние рассматриваемый налоговый расход;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предоставление гарантий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8.4pt;margin-top:.25pt;width:159.05pt;height:35.7pt;z-index:251658240;visibility:visible">
            <v:imagedata r:id="rId4" o:title=""/>
            <w10:wrap type="square" side="left"/>
          </v:shape>
        </w:pic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где: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m</w:t>
      </w:r>
      <w:r w:rsidRPr="00C809F5">
        <w:rPr>
          <w:rFonts w:ascii="Times New Roman" w:hAnsi="Times New Roman"/>
          <w:sz w:val="28"/>
          <w:szCs w:val="28"/>
          <w:vertAlign w:val="subscript"/>
        </w:rPr>
        <w:t>i</w:t>
      </w:r>
      <w:r w:rsidRPr="00C809F5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N</w:t>
      </w:r>
      <w:r w:rsidRPr="00C809F5">
        <w:rPr>
          <w:rFonts w:ascii="Times New Roman" w:hAnsi="Times New Roman"/>
          <w:sz w:val="28"/>
          <w:szCs w:val="28"/>
          <w:vertAlign w:val="subscript"/>
        </w:rPr>
        <w:t>ij</w:t>
      </w:r>
      <w:r w:rsidRPr="00C809F5">
        <w:rPr>
          <w:rFonts w:ascii="Times New Roman" w:hAnsi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j-м плательщиком в i-м году.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оцениваются (прогнозируются) по данным кураторов налоговых расходов и администрации;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 (B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= N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+ L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>,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где: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N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L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g</w:t>
      </w:r>
      <w:r w:rsidRPr="00C809F5">
        <w:rPr>
          <w:rFonts w:ascii="Times New Roman" w:hAnsi="Times New Roman"/>
          <w:sz w:val="28"/>
          <w:szCs w:val="28"/>
          <w:vertAlign w:val="subscript"/>
        </w:rPr>
        <w:t>i</w:t>
      </w:r>
      <w:r w:rsidRPr="00C809F5">
        <w:rPr>
          <w:rFonts w:ascii="Times New Roman" w:hAnsi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i-м году по отношению к базовому году.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19. По итогам оценки результативности формируется заключение: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321E2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321E2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7A59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1C5D24" w:rsidRPr="00C809F5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налоговых расходов сельского 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поселения </w:t>
      </w:r>
      <w:r w:rsidRPr="00F80299">
        <w:rPr>
          <w:rFonts w:ascii="Times New Roman" w:hAnsi="Times New Roman"/>
          <w:sz w:val="24"/>
          <w:szCs w:val="24"/>
        </w:rPr>
        <w:t>Алгинский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района Давлекановский  район 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Республики Башкортостан и 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оценки налоговых расходов 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80299">
        <w:rPr>
          <w:rFonts w:ascii="Times New Roman" w:hAnsi="Times New Roman"/>
          <w:sz w:val="24"/>
          <w:szCs w:val="24"/>
        </w:rPr>
        <w:t>Алгинский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</w:t>
      </w:r>
    </w:p>
    <w:p w:rsidR="001C5D24" w:rsidRPr="00C809F5" w:rsidRDefault="001C5D24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муниципального района Давлекановский</w:t>
      </w:r>
    </w:p>
    <w:p w:rsidR="001C5D24" w:rsidRPr="00C809F5" w:rsidRDefault="001C5D24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район Республики Башкортостан</w:t>
      </w:r>
    </w:p>
    <w:p w:rsidR="001C5D24" w:rsidRPr="00C809F5" w:rsidRDefault="001C5D24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5D24" w:rsidRPr="00C809F5" w:rsidRDefault="001C5D24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5D24" w:rsidRPr="00C809F5" w:rsidRDefault="001C5D24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1C5D24" w:rsidRPr="00C809F5" w:rsidRDefault="001C5D24" w:rsidP="000E2D62">
      <w:pPr>
        <w:widowControl w:val="0"/>
        <w:autoSpaceDE w:val="0"/>
        <w:ind w:firstLine="53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/>
          <w:sz w:val="28"/>
          <w:szCs w:val="28"/>
        </w:rPr>
        <w:t xml:space="preserve"> Алгинский сельсовет муниципального района Давлекановский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1C5D24" w:rsidRPr="000412D7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муниципальных программ сельского поселения, структурных элементов  муниципальных программ сельского поселения, в целях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1C5D24" w:rsidRPr="000412D7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4" w:rsidRPr="000412D7" w:rsidRDefault="001C5D24" w:rsidP="002A2206">
            <w:pPr>
              <w:snapToGrid w:val="0"/>
            </w:pPr>
          </w:p>
        </w:tc>
      </w:tr>
      <w:tr w:rsidR="001C5D24" w:rsidRPr="000412D7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C5D24" w:rsidRPr="000412D7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24" w:rsidRPr="00C809F5" w:rsidRDefault="001C5D24" w:rsidP="002A2206">
            <w:pPr>
              <w:pStyle w:val="ConsPlusNormal"/>
              <w:snapToGrid w:val="0"/>
            </w:pPr>
          </w:p>
        </w:tc>
      </w:tr>
    </w:tbl>
    <w:p w:rsidR="001C5D24" w:rsidRPr="00C809F5" w:rsidRDefault="001C5D24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C5D24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налоговых расходов сельского 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поселения </w:t>
      </w:r>
      <w:r w:rsidRPr="00F80299">
        <w:rPr>
          <w:rFonts w:ascii="Times New Roman" w:hAnsi="Times New Roman"/>
          <w:sz w:val="24"/>
          <w:szCs w:val="24"/>
        </w:rPr>
        <w:t>Алгинский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района Давлекановский  район 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Республики Башкортостан и 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оценки налоговых расходов 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80299">
        <w:rPr>
          <w:rFonts w:ascii="Times New Roman" w:hAnsi="Times New Roman"/>
          <w:sz w:val="24"/>
          <w:szCs w:val="24"/>
        </w:rPr>
        <w:t>Алгинский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муниципального района Давлекановский</w:t>
      </w:r>
    </w:p>
    <w:p w:rsidR="001C5D24" w:rsidRPr="00C809F5" w:rsidRDefault="001C5D24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</w:p>
    <w:p w:rsidR="001C5D24" w:rsidRPr="00C809F5" w:rsidRDefault="001C5D24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C5D24" w:rsidRPr="00C809F5" w:rsidRDefault="001C5D24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Перечень</w:t>
      </w:r>
    </w:p>
    <w:p w:rsidR="001C5D24" w:rsidRPr="00C809F5" w:rsidRDefault="001C5D24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5583"/>
        <w:gridCol w:w="3988"/>
      </w:tblGrid>
      <w:tr w:rsidR="001C5D24" w:rsidRPr="000412D7" w:rsidTr="0075404F">
        <w:tc>
          <w:tcPr>
            <w:tcW w:w="0" w:type="auto"/>
            <w:gridSpan w:val="2"/>
          </w:tcPr>
          <w:p w:rsidR="001C5D24" w:rsidRPr="000412D7" w:rsidRDefault="001C5D24" w:rsidP="007540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1C5D24" w:rsidRPr="000412D7" w:rsidTr="0075404F">
        <w:tc>
          <w:tcPr>
            <w:tcW w:w="0" w:type="auto"/>
            <w:gridSpan w:val="3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rPr>
          <w:trHeight w:val="311"/>
        </w:trPr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  <w:gridSpan w:val="3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1C5D24" w:rsidRPr="000412D7" w:rsidTr="0075404F">
        <w:tc>
          <w:tcPr>
            <w:tcW w:w="0" w:type="auto"/>
            <w:gridSpan w:val="3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1C5D24" w:rsidRPr="000412D7" w:rsidRDefault="001C5D24" w:rsidP="004435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hyperlink r:id="rId5" w:anchor="2" w:history="1">
              <w:r w:rsidRPr="000412D7">
                <w:rPr>
                  <w:rFonts w:ascii="Times New Roman" w:hAnsi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6" w:anchor="3" w:history="1">
              <w:r w:rsidRPr="000412D7">
                <w:rPr>
                  <w:rFonts w:ascii="Times New Roman" w:hAnsi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1C5D24" w:rsidRPr="000412D7" w:rsidRDefault="001C5D24" w:rsidP="00041A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0412D7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Pr="00F80299">
              <w:rPr>
                <w:rFonts w:ascii="Times New Roman" w:hAnsi="Times New Roman"/>
                <w:sz w:val="28"/>
                <w:szCs w:val="28"/>
              </w:rPr>
              <w:t>Алгинский</w:t>
            </w:r>
            <w:r w:rsidRPr="000412D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1C5D24" w:rsidRPr="000412D7" w:rsidTr="0075404F"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</w:tcPr>
          <w:p w:rsidR="001C5D24" w:rsidRPr="000412D7" w:rsidRDefault="001C5D24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2D7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1C5D24" w:rsidRPr="00C809F5" w:rsidRDefault="001C5D24" w:rsidP="00321E25">
      <w:pPr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>-------------------------------------------</w:t>
      </w:r>
    </w:p>
    <w:p w:rsidR="001C5D24" w:rsidRPr="00C809F5" w:rsidRDefault="001C5D24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1C5D24" w:rsidRPr="00C809F5" w:rsidRDefault="001C5D24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bookmarkStart w:id="0" w:name="_GoBack"/>
      <w:bookmarkEnd w:id="0"/>
      <w:r w:rsidRPr="00C809F5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1C5D24" w:rsidRPr="00C809F5" w:rsidRDefault="001C5D24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Pr="00F80299">
        <w:rPr>
          <w:rFonts w:ascii="Times New Roman" w:hAnsi="Times New Roman"/>
          <w:sz w:val="28"/>
          <w:szCs w:val="28"/>
        </w:rPr>
        <w:t>Алгинский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1C5D24" w:rsidRPr="00C809F5" w:rsidRDefault="001C5D24">
      <w:pPr>
        <w:rPr>
          <w:rFonts w:ascii="Times New Roman" w:hAnsi="Times New Roman"/>
          <w:sz w:val="28"/>
          <w:szCs w:val="28"/>
        </w:rPr>
      </w:pPr>
    </w:p>
    <w:sectPr w:rsidR="001C5D24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25"/>
    <w:rsid w:val="000412D7"/>
    <w:rsid w:val="00041A1C"/>
    <w:rsid w:val="00067AFD"/>
    <w:rsid w:val="000E2D62"/>
    <w:rsid w:val="001433A4"/>
    <w:rsid w:val="001C5D24"/>
    <w:rsid w:val="002872A9"/>
    <w:rsid w:val="002A2206"/>
    <w:rsid w:val="002D1B3E"/>
    <w:rsid w:val="00321E25"/>
    <w:rsid w:val="00374991"/>
    <w:rsid w:val="003A2C0B"/>
    <w:rsid w:val="003D13CF"/>
    <w:rsid w:val="003E355B"/>
    <w:rsid w:val="004041FD"/>
    <w:rsid w:val="004435F4"/>
    <w:rsid w:val="004B3B7A"/>
    <w:rsid w:val="004C567D"/>
    <w:rsid w:val="0062067D"/>
    <w:rsid w:val="0074080B"/>
    <w:rsid w:val="0075404F"/>
    <w:rsid w:val="007A592F"/>
    <w:rsid w:val="007C278E"/>
    <w:rsid w:val="007C58EF"/>
    <w:rsid w:val="00832D9F"/>
    <w:rsid w:val="008A2778"/>
    <w:rsid w:val="00975972"/>
    <w:rsid w:val="00AA45A4"/>
    <w:rsid w:val="00B96E59"/>
    <w:rsid w:val="00BB04F4"/>
    <w:rsid w:val="00C73ABC"/>
    <w:rsid w:val="00C75DA4"/>
    <w:rsid w:val="00C809F5"/>
    <w:rsid w:val="00C83343"/>
    <w:rsid w:val="00D2154D"/>
    <w:rsid w:val="00E8498E"/>
    <w:rsid w:val="00F21D36"/>
    <w:rsid w:val="00F54C0B"/>
    <w:rsid w:val="00F64AEF"/>
    <w:rsid w:val="00F8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21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21E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E2D6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0E2D62"/>
    <w:rPr>
      <w:rFonts w:cs="Times New Roman"/>
      <w:color w:val="000080"/>
      <w:u w:val="single"/>
    </w:rPr>
  </w:style>
  <w:style w:type="paragraph" w:styleId="NoSpacing">
    <w:name w:val="No Spacing"/>
    <w:uiPriority w:val="99"/>
    <w:qFormat/>
    <w:rsid w:val="00C80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hyperlink" Target="http://www.garant.ru/products/ipo/prime/doc/56662964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4632</Words>
  <Characters>26405</Characters>
  <Application>Microsoft Office Outlook</Application>
  <DocSecurity>0</DocSecurity>
  <Lines>0</Lines>
  <Paragraphs>0</Paragraphs>
  <ScaleCrop>false</ScaleCrop>
  <Company>ТФУ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ПРОЕКТ ПОСТАНОВЛЕНИЯ</dc:title>
  <dc:subject/>
  <dc:creator>Piter</dc:creator>
  <cp:keywords/>
  <dc:description/>
  <cp:lastModifiedBy>Алга</cp:lastModifiedBy>
  <cp:revision>3</cp:revision>
  <dcterms:created xsi:type="dcterms:W3CDTF">2020-05-12T10:27:00Z</dcterms:created>
  <dcterms:modified xsi:type="dcterms:W3CDTF">2020-05-12T10:29:00Z</dcterms:modified>
</cp:coreProperties>
</file>