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174A" w:rsidRPr="0066174A" w:rsidRDefault="0066174A" w:rsidP="0066174A">
      <w:pPr>
        <w:spacing w:line="0" w:lineRule="atLeast"/>
        <w:jc w:val="center"/>
        <w:rPr>
          <w:sz w:val="28"/>
          <w:szCs w:val="20"/>
        </w:rPr>
      </w:pPr>
      <w:bookmarkStart w:id="0" w:name="_GoBack"/>
      <w:r w:rsidRPr="0066174A">
        <w:rPr>
          <w:sz w:val="28"/>
          <w:szCs w:val="20"/>
        </w:rPr>
        <w:t xml:space="preserve">О внесении изменений в Правила землепользования и застройки сельского поселения Кидрячевский сельсовет муниципального района </w:t>
      </w:r>
      <w:proofErr w:type="spellStart"/>
      <w:r w:rsidRPr="0066174A">
        <w:rPr>
          <w:sz w:val="28"/>
          <w:szCs w:val="20"/>
        </w:rPr>
        <w:t>Давлекановский</w:t>
      </w:r>
      <w:proofErr w:type="spellEnd"/>
      <w:r w:rsidRPr="0066174A">
        <w:rPr>
          <w:sz w:val="28"/>
          <w:szCs w:val="20"/>
        </w:rPr>
        <w:t xml:space="preserve"> район</w:t>
      </w:r>
    </w:p>
    <w:bookmarkEnd w:id="0"/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r w:rsidRPr="0066174A">
        <w:rPr>
          <w:sz w:val="28"/>
          <w:szCs w:val="20"/>
        </w:rPr>
        <w:t xml:space="preserve">Рассмотрев протест прокурора </w:t>
      </w:r>
      <w:proofErr w:type="spellStart"/>
      <w:r w:rsidRPr="0066174A">
        <w:rPr>
          <w:sz w:val="28"/>
          <w:szCs w:val="20"/>
        </w:rPr>
        <w:t>Давлекановского</w:t>
      </w:r>
      <w:proofErr w:type="spellEnd"/>
      <w:r w:rsidRPr="0066174A">
        <w:rPr>
          <w:sz w:val="28"/>
          <w:szCs w:val="20"/>
        </w:rPr>
        <w:t xml:space="preserve"> района, руководствуясь главой 7 Федерального закона от 06.10.2003 № 131-ФЗ «Об общих принципах организации местного самоуправления в Российской Федерации», Совет сельского поселения Кидрячевский сельсовет муниципального района </w:t>
      </w:r>
      <w:proofErr w:type="spellStart"/>
      <w:r w:rsidRPr="0066174A">
        <w:rPr>
          <w:sz w:val="28"/>
          <w:szCs w:val="20"/>
        </w:rPr>
        <w:t>Давлекановский</w:t>
      </w:r>
      <w:proofErr w:type="spellEnd"/>
      <w:r w:rsidRPr="0066174A">
        <w:rPr>
          <w:sz w:val="28"/>
          <w:szCs w:val="20"/>
        </w:rPr>
        <w:t xml:space="preserve"> район Республики Башкортостан,  </w:t>
      </w:r>
      <w:proofErr w:type="gramStart"/>
      <w:r w:rsidRPr="0066174A">
        <w:rPr>
          <w:sz w:val="28"/>
          <w:szCs w:val="20"/>
        </w:rPr>
        <w:t>р</w:t>
      </w:r>
      <w:proofErr w:type="gramEnd"/>
      <w:r w:rsidRPr="0066174A">
        <w:rPr>
          <w:sz w:val="28"/>
          <w:szCs w:val="20"/>
        </w:rPr>
        <w:t xml:space="preserve"> е ш и л:</w:t>
      </w:r>
    </w:p>
    <w:p w:rsidR="0066174A" w:rsidRPr="0066174A" w:rsidRDefault="0066174A" w:rsidP="0066174A">
      <w:pPr>
        <w:numPr>
          <w:ilvl w:val="0"/>
          <w:numId w:val="6"/>
        </w:numPr>
        <w:spacing w:line="0" w:lineRule="atLeast"/>
        <w:ind w:left="0" w:firstLine="0"/>
        <w:jc w:val="both"/>
        <w:rPr>
          <w:sz w:val="28"/>
          <w:szCs w:val="20"/>
        </w:rPr>
      </w:pPr>
      <w:r w:rsidRPr="0066174A">
        <w:rPr>
          <w:sz w:val="28"/>
          <w:szCs w:val="20"/>
        </w:rPr>
        <w:t xml:space="preserve">Внести изменения в Правила землепользования и застройки сельского поселения Кидрячевский сельсовет муниципального района </w:t>
      </w:r>
      <w:proofErr w:type="spellStart"/>
      <w:r w:rsidRPr="0066174A">
        <w:rPr>
          <w:sz w:val="28"/>
          <w:szCs w:val="20"/>
        </w:rPr>
        <w:t>Давлекановский</w:t>
      </w:r>
      <w:proofErr w:type="spellEnd"/>
      <w:r w:rsidRPr="0066174A">
        <w:rPr>
          <w:sz w:val="28"/>
          <w:szCs w:val="20"/>
        </w:rPr>
        <w:t xml:space="preserve"> район, утвержденные решением Совета сельского поселения Кидрячевский сельсовет муниципального района </w:t>
      </w:r>
      <w:proofErr w:type="spellStart"/>
      <w:r w:rsidRPr="0066174A">
        <w:rPr>
          <w:sz w:val="28"/>
          <w:szCs w:val="20"/>
        </w:rPr>
        <w:t>Давлекановский</w:t>
      </w:r>
      <w:proofErr w:type="spellEnd"/>
      <w:r w:rsidRPr="0066174A">
        <w:rPr>
          <w:sz w:val="28"/>
          <w:szCs w:val="20"/>
        </w:rPr>
        <w:t xml:space="preserve"> район от 16 января 2014г. №01(далее -  Правила),  следующие изменения.</w:t>
      </w:r>
    </w:p>
    <w:p w:rsidR="0066174A" w:rsidRPr="0066174A" w:rsidRDefault="0066174A" w:rsidP="0066174A">
      <w:pPr>
        <w:numPr>
          <w:ilvl w:val="1"/>
          <w:numId w:val="6"/>
        </w:numPr>
        <w:spacing w:line="0" w:lineRule="atLeast"/>
        <w:ind w:left="0" w:firstLine="0"/>
        <w:jc w:val="both"/>
        <w:rPr>
          <w:sz w:val="28"/>
          <w:szCs w:val="20"/>
        </w:rPr>
      </w:pPr>
      <w:r w:rsidRPr="0066174A">
        <w:rPr>
          <w:sz w:val="28"/>
          <w:szCs w:val="20"/>
        </w:rPr>
        <w:t>Пункт 7 в части 5 статьи 35 Правил исключить.</w:t>
      </w:r>
    </w:p>
    <w:p w:rsidR="0066174A" w:rsidRPr="0066174A" w:rsidRDefault="0066174A" w:rsidP="0066174A">
      <w:pPr>
        <w:numPr>
          <w:ilvl w:val="1"/>
          <w:numId w:val="6"/>
        </w:numPr>
        <w:spacing w:line="0" w:lineRule="atLeast"/>
        <w:ind w:left="0" w:firstLine="0"/>
        <w:jc w:val="both"/>
        <w:rPr>
          <w:sz w:val="28"/>
          <w:szCs w:val="20"/>
        </w:rPr>
      </w:pPr>
      <w:r w:rsidRPr="0066174A">
        <w:rPr>
          <w:sz w:val="28"/>
          <w:szCs w:val="20"/>
        </w:rPr>
        <w:t>Дополнить пункт 4.2 части 5 статьи 35 Правил подпунктом 5.1. следующего содержания: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r w:rsidRPr="0066174A">
        <w:rPr>
          <w:sz w:val="28"/>
          <w:szCs w:val="20"/>
        </w:rPr>
        <w:t>«5.1.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РФ».</w:t>
      </w:r>
    </w:p>
    <w:p w:rsidR="0066174A" w:rsidRPr="0066174A" w:rsidRDefault="0066174A" w:rsidP="0066174A">
      <w:pPr>
        <w:numPr>
          <w:ilvl w:val="1"/>
          <w:numId w:val="6"/>
        </w:numPr>
        <w:spacing w:line="0" w:lineRule="atLeast"/>
        <w:ind w:left="0" w:firstLine="0"/>
        <w:jc w:val="both"/>
        <w:rPr>
          <w:sz w:val="28"/>
          <w:szCs w:val="20"/>
        </w:rPr>
      </w:pPr>
      <w:r w:rsidRPr="0066174A">
        <w:rPr>
          <w:sz w:val="28"/>
          <w:szCs w:val="20"/>
        </w:rPr>
        <w:t>Часть 3 статьи 37 Правил изложить в следующей редакции: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bookmarkStart w:id="1" w:name="Par0"/>
      <w:bookmarkEnd w:id="1"/>
      <w:r w:rsidRPr="0066174A">
        <w:rPr>
          <w:sz w:val="28"/>
          <w:szCs w:val="20"/>
        </w:rPr>
        <w:t>«3.Для принятия решения о выдаче разрешения на ввод объекта в эксплуатацию необходимы следующие документы: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bookmarkStart w:id="2" w:name="p3522"/>
      <w:bookmarkEnd w:id="2"/>
      <w:r w:rsidRPr="0066174A">
        <w:rPr>
          <w:sz w:val="28"/>
          <w:szCs w:val="20"/>
        </w:rPr>
        <w:t xml:space="preserve"> 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bookmarkStart w:id="3" w:name="p3525"/>
      <w:bookmarkEnd w:id="3"/>
      <w:r w:rsidRPr="0066174A">
        <w:rPr>
          <w:sz w:val="28"/>
          <w:szCs w:val="20"/>
        </w:rPr>
        <w:t xml:space="preserve">  2) разрешение на строительство;</w:t>
      </w:r>
      <w:bookmarkStart w:id="4" w:name="p3528"/>
      <w:bookmarkEnd w:id="4"/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r w:rsidRPr="0066174A">
        <w:rPr>
          <w:sz w:val="28"/>
          <w:szCs w:val="20"/>
        </w:rPr>
        <w:t xml:space="preserve"> 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proofErr w:type="gramStart"/>
      <w:r w:rsidRPr="0066174A">
        <w:rPr>
          <w:sz w:val="28"/>
          <w:szCs w:val="20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bookmarkStart w:id="5" w:name="p3543"/>
      <w:bookmarkEnd w:id="5"/>
      <w:r w:rsidRPr="0066174A">
        <w:rPr>
          <w:sz w:val="28"/>
          <w:szCs w:val="20"/>
        </w:rPr>
        <w:t>;</w:t>
      </w:r>
      <w:proofErr w:type="gramEnd"/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proofErr w:type="gramStart"/>
      <w:r w:rsidRPr="0066174A">
        <w:rPr>
          <w:sz w:val="28"/>
          <w:szCs w:val="20"/>
        </w:rPr>
        <w:lastRenderedPageBreak/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Pr="0066174A">
          <w:rPr>
            <w:color w:val="0000FF"/>
            <w:sz w:val="28"/>
            <w:szCs w:val="20"/>
            <w:u w:val="single"/>
          </w:rPr>
          <w:t>частью 1 статьи 54</w:t>
        </w:r>
      </w:hyperlink>
      <w:r w:rsidRPr="0066174A">
        <w:rPr>
          <w:sz w:val="28"/>
          <w:szCs w:val="20"/>
        </w:rPr>
        <w:t xml:space="preserve"> Градостроительного кодекса РФ) о соответствии построенного, реконструированного объекта капитального строительства указанным в </w:t>
      </w:r>
      <w:hyperlink r:id="rId7" w:history="1">
        <w:r w:rsidRPr="0066174A">
          <w:rPr>
            <w:color w:val="0000FF"/>
            <w:sz w:val="28"/>
            <w:szCs w:val="20"/>
            <w:u w:val="single"/>
          </w:rPr>
          <w:t>пункте 1 части 5 статьи 49</w:t>
        </w:r>
      </w:hyperlink>
      <w:r w:rsidRPr="0066174A">
        <w:rPr>
          <w:sz w:val="28"/>
          <w:szCs w:val="20"/>
        </w:rPr>
        <w:t xml:space="preserve">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</w:t>
      </w:r>
      <w:proofErr w:type="gramEnd"/>
      <w:r w:rsidRPr="0066174A">
        <w:rPr>
          <w:sz w:val="28"/>
          <w:szCs w:val="20"/>
        </w:rPr>
        <w:t xml:space="preserve"> </w:t>
      </w:r>
      <w:hyperlink r:id="rId8" w:history="1">
        <w:r w:rsidRPr="0066174A">
          <w:rPr>
            <w:color w:val="0000FF"/>
            <w:sz w:val="28"/>
            <w:szCs w:val="20"/>
            <w:u w:val="single"/>
          </w:rPr>
          <w:t>частью 1.3 статьи 52</w:t>
        </w:r>
      </w:hyperlink>
      <w:r w:rsidRPr="0066174A">
        <w:rPr>
          <w:sz w:val="28"/>
          <w:szCs w:val="20"/>
        </w:rPr>
        <w:t xml:space="preserve"> 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Pr="0066174A">
          <w:rPr>
            <w:color w:val="0000FF"/>
            <w:sz w:val="28"/>
            <w:szCs w:val="20"/>
            <w:u w:val="single"/>
          </w:rPr>
          <w:t>частью 5 статьи 54</w:t>
        </w:r>
      </w:hyperlink>
      <w:r w:rsidRPr="0066174A">
        <w:rPr>
          <w:sz w:val="28"/>
          <w:szCs w:val="20"/>
        </w:rPr>
        <w:t xml:space="preserve"> Градостроительного кодекса РФ;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r w:rsidRPr="0066174A">
        <w:rPr>
          <w:sz w:val="28"/>
          <w:szCs w:val="20"/>
        </w:rPr>
        <w:t xml:space="preserve">  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bookmarkStart w:id="6" w:name="p3550"/>
      <w:bookmarkEnd w:id="6"/>
      <w:r w:rsidRPr="0066174A">
        <w:rPr>
          <w:sz w:val="28"/>
          <w:szCs w:val="20"/>
        </w:rPr>
        <w:t xml:space="preserve">  7) 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недвижимости".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r w:rsidRPr="0066174A">
        <w:rPr>
          <w:sz w:val="28"/>
          <w:szCs w:val="20"/>
        </w:rPr>
        <w:t xml:space="preserve">  </w:t>
      </w:r>
      <w:bookmarkStart w:id="7" w:name="p3560"/>
      <w:bookmarkEnd w:id="7"/>
      <w:r w:rsidRPr="0066174A">
        <w:rPr>
          <w:sz w:val="28"/>
          <w:szCs w:val="20"/>
        </w:rPr>
        <w:t xml:space="preserve">  </w:t>
      </w:r>
      <w:bookmarkStart w:id="8" w:name="p3571"/>
      <w:bookmarkEnd w:id="8"/>
      <w:r w:rsidRPr="0066174A">
        <w:rPr>
          <w:sz w:val="28"/>
          <w:szCs w:val="20"/>
        </w:rPr>
        <w:t xml:space="preserve">  3.</w:t>
      </w:r>
      <w:proofErr w:type="gramStart"/>
      <w:r w:rsidRPr="0066174A">
        <w:rPr>
          <w:sz w:val="28"/>
          <w:szCs w:val="20"/>
        </w:rPr>
        <w:t>Контроль за</w:t>
      </w:r>
      <w:proofErr w:type="gramEnd"/>
      <w:r w:rsidRPr="0066174A">
        <w:rPr>
          <w:sz w:val="28"/>
          <w:szCs w:val="20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</w:t>
      </w:r>
      <w:proofErr w:type="spellStart"/>
      <w:r w:rsidRPr="0066174A">
        <w:rPr>
          <w:sz w:val="28"/>
          <w:szCs w:val="20"/>
        </w:rPr>
        <w:t>Давлетбаев</w:t>
      </w:r>
      <w:proofErr w:type="spellEnd"/>
      <w:r w:rsidRPr="0066174A">
        <w:rPr>
          <w:sz w:val="28"/>
          <w:szCs w:val="20"/>
        </w:rPr>
        <w:t xml:space="preserve"> Р.Ш.)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0"/>
        </w:rPr>
      </w:pPr>
      <w:r w:rsidRPr="0066174A">
        <w:rPr>
          <w:sz w:val="28"/>
          <w:szCs w:val="20"/>
        </w:rPr>
        <w:t xml:space="preserve">4.Настоящее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6174A">
        <w:rPr>
          <w:sz w:val="28"/>
          <w:szCs w:val="20"/>
        </w:rPr>
        <w:t>Давлекановский</w:t>
      </w:r>
      <w:proofErr w:type="spellEnd"/>
      <w:r w:rsidRPr="0066174A">
        <w:rPr>
          <w:sz w:val="28"/>
          <w:szCs w:val="20"/>
        </w:rPr>
        <w:t xml:space="preserve"> район Республики Башкортостан в сети Интернет (раздел «Поселения муниципального района).</w:t>
      </w:r>
    </w:p>
    <w:p w:rsidR="0066174A" w:rsidRPr="0066174A" w:rsidRDefault="0066174A" w:rsidP="0066174A">
      <w:pPr>
        <w:spacing w:line="0" w:lineRule="atLeast"/>
        <w:jc w:val="both"/>
        <w:rPr>
          <w:sz w:val="28"/>
          <w:szCs w:val="28"/>
        </w:rPr>
      </w:pPr>
    </w:p>
    <w:p w:rsidR="0066174A" w:rsidRPr="0066174A" w:rsidRDefault="0066174A" w:rsidP="0066174A">
      <w:pPr>
        <w:spacing w:line="0" w:lineRule="atLeast"/>
        <w:jc w:val="both"/>
        <w:rPr>
          <w:sz w:val="28"/>
          <w:szCs w:val="28"/>
        </w:rPr>
      </w:pPr>
    </w:p>
    <w:p w:rsidR="0066174A" w:rsidRPr="0066174A" w:rsidRDefault="0066174A" w:rsidP="0066174A">
      <w:pPr>
        <w:rPr>
          <w:sz w:val="28"/>
          <w:szCs w:val="28"/>
        </w:rPr>
      </w:pPr>
    </w:p>
    <w:p w:rsidR="0066174A" w:rsidRPr="0066174A" w:rsidRDefault="0066174A" w:rsidP="0066174A">
      <w:pPr>
        <w:rPr>
          <w:sz w:val="28"/>
          <w:szCs w:val="20"/>
        </w:rPr>
      </w:pPr>
      <w:r w:rsidRPr="0066174A">
        <w:rPr>
          <w:rFonts w:ascii="Peterburg" w:hAnsi="Peterburg"/>
          <w:sz w:val="28"/>
          <w:szCs w:val="20"/>
        </w:rPr>
        <w:t xml:space="preserve">Глава сельского поселения        </w:t>
      </w:r>
      <w:r w:rsidRPr="0066174A">
        <w:rPr>
          <w:rFonts w:ascii="Calibri" w:hAnsi="Calibri"/>
          <w:sz w:val="28"/>
          <w:szCs w:val="20"/>
        </w:rPr>
        <w:t xml:space="preserve">                                    </w:t>
      </w:r>
      <w:r w:rsidRPr="0066174A">
        <w:rPr>
          <w:rFonts w:ascii="Peterburg" w:hAnsi="Peterburg"/>
          <w:sz w:val="28"/>
          <w:szCs w:val="20"/>
        </w:rPr>
        <w:t xml:space="preserve">             </w:t>
      </w:r>
    </w:p>
    <w:p w:rsidR="0066174A" w:rsidRPr="0066174A" w:rsidRDefault="0066174A" w:rsidP="0066174A">
      <w:pPr>
        <w:spacing w:line="360" w:lineRule="auto"/>
        <w:jc w:val="right"/>
        <w:rPr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66174A" w:rsidRPr="0066174A" w:rsidRDefault="0066174A" w:rsidP="0066174A">
      <w:pPr>
        <w:jc w:val="right"/>
        <w:rPr>
          <w:rFonts w:ascii="Calibri" w:hAnsi="Calibri"/>
          <w:sz w:val="28"/>
          <w:szCs w:val="28"/>
        </w:rPr>
      </w:pPr>
    </w:p>
    <w:p w:rsidR="00702619" w:rsidRDefault="00702619" w:rsidP="0066174A">
      <w:pPr>
        <w:ind w:firstLine="720"/>
        <w:jc w:val="both"/>
        <w:rPr>
          <w:sz w:val="28"/>
          <w:szCs w:val="28"/>
        </w:rPr>
      </w:pPr>
    </w:p>
    <w:sectPr w:rsidR="00702619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3126F"/>
    <w:rsid w:val="0064168D"/>
    <w:rsid w:val="0066174A"/>
    <w:rsid w:val="00673071"/>
    <w:rsid w:val="00702619"/>
    <w:rsid w:val="00724BF1"/>
    <w:rsid w:val="00764F7A"/>
    <w:rsid w:val="008E0B88"/>
    <w:rsid w:val="0094170B"/>
    <w:rsid w:val="00984B36"/>
    <w:rsid w:val="009A5882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CCCB4934D4161E5DF0DB81CEA827EB042CAFC1C814179E78B8846046DE2955547A019F133453892BDFC0283DEF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DBFBC249262B67D2F8CCCB4934D4161E5DF0DB81CEA827EB042CAFC1C814179E78B8856F46DD2955547A019F133453892BDFC0283DEFW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DBFBC249262B67D2F8CCCB4934D4161E5DF0DB81CEA827EB042CAFC1C814179E78B8866146D67650416B599210294D8C30C3C22AE3W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DBFBC249262B67D2F8CCCB4934D4161E5DF0DB81CEA827EB042CAFC1C814179E78B8846341DA2955547A019F133453892BDFC0283DEF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43</cp:revision>
  <dcterms:created xsi:type="dcterms:W3CDTF">2016-01-12T13:02:00Z</dcterms:created>
  <dcterms:modified xsi:type="dcterms:W3CDTF">2024-02-06T04:27:00Z</dcterms:modified>
</cp:coreProperties>
</file>