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71" w:rsidRPr="00BE7171" w:rsidRDefault="00BE7171" w:rsidP="00BE7171">
      <w:pPr>
        <w:autoSpaceDE w:val="0"/>
        <w:autoSpaceDN w:val="0"/>
        <w:adjustRightInd w:val="0"/>
        <w:spacing w:after="0" w:line="240" w:lineRule="auto"/>
        <w:jc w:val="center"/>
        <w:rPr>
          <w:rFonts w:ascii="PF DinText Pro" w:hAnsi="PF DinText Pro" w:cs="Arial"/>
          <w:b/>
          <w:bCs/>
          <w:sz w:val="36"/>
          <w:szCs w:val="36"/>
        </w:rPr>
      </w:pPr>
      <w:bookmarkStart w:id="0" w:name="_GoBack"/>
      <w:r w:rsidRPr="00BE7171">
        <w:rPr>
          <w:rFonts w:ascii="PF DinText Pro" w:hAnsi="PF DinText Pro" w:cs="Arial"/>
          <w:b/>
          <w:bCs/>
          <w:sz w:val="36"/>
          <w:szCs w:val="36"/>
        </w:rPr>
        <w:t>Уведомление об исчисленных налогах: как подать и как заполнить</w:t>
      </w:r>
    </w:p>
    <w:bookmarkEnd w:id="0"/>
    <w:p w:rsidR="00BE7171" w:rsidRPr="00BE7171" w:rsidRDefault="00BE7171" w:rsidP="00BE7171">
      <w:pPr>
        <w:autoSpaceDE w:val="0"/>
        <w:autoSpaceDN w:val="0"/>
        <w:adjustRightInd w:val="0"/>
        <w:spacing w:after="0" w:line="240" w:lineRule="auto"/>
        <w:jc w:val="center"/>
        <w:rPr>
          <w:rFonts w:ascii="PF DinText Pro" w:hAnsi="PF DinText Pro" w:cs="Arial"/>
          <w:sz w:val="36"/>
          <w:szCs w:val="36"/>
        </w:rPr>
      </w:pPr>
    </w:p>
    <w:p w:rsidR="00BE7171" w:rsidRPr="00BE7171" w:rsidRDefault="00BE7171" w:rsidP="00BE7171">
      <w:pPr>
        <w:pStyle w:val="a3"/>
        <w:ind w:firstLine="709"/>
        <w:jc w:val="both"/>
        <w:rPr>
          <w:rFonts w:ascii="PF DinText Pro" w:hAnsi="PF DinText Pro" w:cs="Times New Roman"/>
          <w:sz w:val="28"/>
          <w:szCs w:val="28"/>
        </w:rPr>
      </w:pPr>
      <w:hyperlink r:id="rId6" w:history="1">
        <w:r w:rsidRPr="00BE7171">
          <w:rPr>
            <w:rFonts w:ascii="PF DinText Pro" w:hAnsi="PF DinText Pro" w:cs="Times New Roman"/>
            <w:sz w:val="28"/>
            <w:szCs w:val="28"/>
          </w:rPr>
          <w:t>Уведомления</w:t>
        </w:r>
      </w:hyperlink>
      <w:r w:rsidRPr="00BE7171">
        <w:rPr>
          <w:rFonts w:ascii="PF DinText Pro" w:hAnsi="PF DinText Pro" w:cs="Times New Roman"/>
          <w:sz w:val="28"/>
          <w:szCs w:val="28"/>
        </w:rPr>
        <w:t xml:space="preserve"> надо подавать о платежах, уплачиваемых без декларации или до сдачи декларации или расчета. А именно: о </w:t>
      </w:r>
      <w:hyperlink r:id="rId7" w:history="1">
        <w:r w:rsidRPr="00BE7171">
          <w:rPr>
            <w:rFonts w:ascii="PF DinText Pro" w:hAnsi="PF DinText Pro" w:cs="Times New Roman"/>
            <w:sz w:val="28"/>
            <w:szCs w:val="28"/>
          </w:rPr>
          <w:t>взносах</w:t>
        </w:r>
      </w:hyperlink>
      <w:r w:rsidRPr="00BE7171">
        <w:rPr>
          <w:rFonts w:ascii="PF DinText Pro" w:hAnsi="PF DinText Pro" w:cs="Times New Roman"/>
          <w:sz w:val="28"/>
          <w:szCs w:val="28"/>
        </w:rPr>
        <w:t xml:space="preserve"> за первый и второй месяц квартала; </w:t>
      </w:r>
      <w:hyperlink r:id="rId8" w:history="1">
        <w:r w:rsidRPr="00BE7171">
          <w:rPr>
            <w:rFonts w:ascii="PF DinText Pro" w:hAnsi="PF DinText Pro" w:cs="Times New Roman"/>
            <w:sz w:val="28"/>
            <w:szCs w:val="28"/>
          </w:rPr>
          <w:t>НДФЛ</w:t>
        </w:r>
      </w:hyperlink>
      <w:r w:rsidRPr="00BE7171">
        <w:rPr>
          <w:rFonts w:ascii="PF DinText Pro" w:hAnsi="PF DinText Pro" w:cs="Times New Roman"/>
          <w:sz w:val="28"/>
          <w:szCs w:val="28"/>
        </w:rPr>
        <w:t xml:space="preserve">; авансах по </w:t>
      </w:r>
      <w:hyperlink r:id="rId9" w:history="1">
        <w:r w:rsidRPr="00BE7171">
          <w:rPr>
            <w:rFonts w:ascii="PF DinText Pro" w:hAnsi="PF DinText Pro" w:cs="Times New Roman"/>
            <w:sz w:val="28"/>
            <w:szCs w:val="28"/>
          </w:rPr>
          <w:t>УСН</w:t>
        </w:r>
      </w:hyperlink>
      <w:r w:rsidRPr="00BE7171">
        <w:rPr>
          <w:rFonts w:ascii="PF DinText Pro" w:hAnsi="PF DinText Pro" w:cs="Times New Roman"/>
          <w:sz w:val="28"/>
          <w:szCs w:val="28"/>
        </w:rPr>
        <w:t xml:space="preserve">; налогах </w:t>
      </w:r>
      <w:hyperlink r:id="rId10" w:history="1">
        <w:r w:rsidRPr="00BE7171">
          <w:rPr>
            <w:rFonts w:ascii="PF DinText Pro" w:hAnsi="PF DinText Pro" w:cs="Times New Roman"/>
            <w:sz w:val="28"/>
            <w:szCs w:val="28"/>
          </w:rPr>
          <w:t>на имущество, транспортном и земельном</w:t>
        </w:r>
      </w:hyperlink>
      <w:r w:rsidRPr="00BE7171">
        <w:rPr>
          <w:rFonts w:ascii="PF DinText Pro" w:hAnsi="PF DinText Pro" w:cs="Times New Roman"/>
          <w:sz w:val="28"/>
          <w:szCs w:val="28"/>
        </w:rPr>
        <w:t xml:space="preserve">; налоге на прибыль с </w:t>
      </w:r>
      <w:hyperlink r:id="rId11" w:history="1">
        <w:r w:rsidRPr="00BE7171">
          <w:rPr>
            <w:rFonts w:ascii="PF DinText Pro" w:hAnsi="PF DinText Pro" w:cs="Times New Roman"/>
            <w:sz w:val="28"/>
            <w:szCs w:val="28"/>
          </w:rPr>
          <w:t>дивидендов</w:t>
        </w:r>
      </w:hyperlink>
      <w:r w:rsidRPr="00BE7171">
        <w:rPr>
          <w:rFonts w:ascii="PF DinText Pro" w:hAnsi="PF DinText Pro" w:cs="Times New Roman"/>
          <w:sz w:val="28"/>
          <w:szCs w:val="28"/>
        </w:rPr>
        <w:t xml:space="preserve"> и с </w:t>
      </w:r>
      <w:hyperlink r:id="rId12" w:history="1">
        <w:r w:rsidRPr="00BE7171">
          <w:rPr>
            <w:rFonts w:ascii="PF DinText Pro" w:hAnsi="PF DinText Pro" w:cs="Times New Roman"/>
            <w:sz w:val="28"/>
            <w:szCs w:val="28"/>
          </w:rPr>
          <w:t>доходов нерезидентов</w:t>
        </w:r>
      </w:hyperlink>
      <w:r w:rsidRPr="00BE7171">
        <w:rPr>
          <w:rFonts w:ascii="PF DinText Pro" w:hAnsi="PF DinText Pro" w:cs="Times New Roman"/>
          <w:sz w:val="28"/>
          <w:szCs w:val="28"/>
        </w:rPr>
        <w:t xml:space="preserve"> за первый и второй месяц квартала и за декабрь.</w:t>
      </w:r>
    </w:p>
    <w:p w:rsidR="00BE7171" w:rsidRPr="00BE7171" w:rsidRDefault="00BE7171" w:rsidP="00BE7171">
      <w:pPr>
        <w:pStyle w:val="a3"/>
        <w:ind w:firstLine="709"/>
        <w:jc w:val="both"/>
        <w:rPr>
          <w:rFonts w:ascii="PF DinText Pro" w:hAnsi="PF DinText Pro" w:cs="Times New Roman"/>
          <w:sz w:val="28"/>
          <w:szCs w:val="28"/>
        </w:rPr>
      </w:pPr>
      <w:r w:rsidRPr="00BE7171">
        <w:rPr>
          <w:rFonts w:ascii="PF DinText Pro" w:hAnsi="PF DinText Pro" w:cs="Times New Roman"/>
          <w:sz w:val="28"/>
          <w:szCs w:val="28"/>
        </w:rPr>
        <w:t xml:space="preserve">Не надо подавать уведомления об НДС; налоге на прибыль и авансовых платежах по нему; взносах за третий месяц квартала; налоге по УСН за год; водном налоге; НДПИ; АУСН; налоге на прибыль с дивидендов и с доходов нерезидентов за март, июнь и сентябрь, а также о </w:t>
      </w:r>
      <w:hyperlink r:id="rId13" w:history="1">
        <w:r w:rsidRPr="00BE7171">
          <w:rPr>
            <w:rFonts w:ascii="PF DinText Pro" w:hAnsi="PF DinText Pro" w:cs="Times New Roman"/>
            <w:sz w:val="28"/>
            <w:szCs w:val="28"/>
          </w:rPr>
          <w:t>штрафах</w:t>
        </w:r>
      </w:hyperlink>
      <w:r w:rsidRPr="00BE7171">
        <w:rPr>
          <w:rFonts w:ascii="PF DinText Pro" w:hAnsi="PF DinText Pro" w:cs="Times New Roman"/>
          <w:sz w:val="28"/>
          <w:szCs w:val="28"/>
        </w:rPr>
        <w:t xml:space="preserve"> и </w:t>
      </w:r>
      <w:hyperlink r:id="rId14" w:history="1">
        <w:r w:rsidRPr="00BE7171">
          <w:rPr>
            <w:rFonts w:ascii="PF DinText Pro" w:hAnsi="PF DinText Pro" w:cs="Times New Roman"/>
            <w:sz w:val="28"/>
            <w:szCs w:val="28"/>
          </w:rPr>
          <w:t>пене</w:t>
        </w:r>
      </w:hyperlink>
      <w:r w:rsidRPr="00BE7171">
        <w:rPr>
          <w:rFonts w:ascii="PF DinText Pro" w:hAnsi="PF DinText Pro" w:cs="Times New Roman"/>
          <w:sz w:val="28"/>
          <w:szCs w:val="28"/>
        </w:rPr>
        <w:t>.</w:t>
      </w:r>
    </w:p>
    <w:p w:rsidR="00BE7171" w:rsidRPr="00BE7171" w:rsidRDefault="00BE7171" w:rsidP="00BE7171">
      <w:pPr>
        <w:pStyle w:val="a3"/>
        <w:ind w:firstLine="709"/>
        <w:jc w:val="both"/>
        <w:rPr>
          <w:rFonts w:ascii="PF DinText Pro" w:hAnsi="PF DinText Pro" w:cs="Times New Roman"/>
          <w:sz w:val="28"/>
          <w:szCs w:val="28"/>
        </w:rPr>
      </w:pPr>
      <w:r w:rsidRPr="00BE7171">
        <w:rPr>
          <w:rFonts w:ascii="PF DinText Pro" w:hAnsi="PF DinText Pro" w:cs="Times New Roman"/>
          <w:sz w:val="28"/>
          <w:szCs w:val="28"/>
        </w:rPr>
        <w:t>Если нет начислений по налогу, включая УСН, или взносам, нулевое уведомление подавать не нужно.</w:t>
      </w:r>
    </w:p>
    <w:p w:rsidR="00BE7171" w:rsidRPr="00BE7171" w:rsidRDefault="00BE7171" w:rsidP="00BE7171">
      <w:pPr>
        <w:pStyle w:val="a3"/>
        <w:ind w:firstLine="709"/>
        <w:jc w:val="both"/>
        <w:rPr>
          <w:rFonts w:ascii="PF DinText Pro" w:hAnsi="PF DinText Pro" w:cs="Times New Roman"/>
          <w:sz w:val="28"/>
          <w:szCs w:val="28"/>
        </w:rPr>
      </w:pPr>
      <w:r w:rsidRPr="00BE7171">
        <w:rPr>
          <w:rFonts w:ascii="PF DinText Pro" w:hAnsi="PF DinText Pro" w:cs="Times New Roman"/>
          <w:sz w:val="28"/>
          <w:szCs w:val="28"/>
        </w:rPr>
        <w:t>Подать в ИФНС уведомление можно через личный кабинет, по ТКС или при среднесписочной численности за прошлый год до 100 чел. - на бумаге.</w:t>
      </w:r>
    </w:p>
    <w:p w:rsidR="00BE7171" w:rsidRPr="00BE7171" w:rsidRDefault="00BE7171" w:rsidP="00BE7171">
      <w:pPr>
        <w:pStyle w:val="a3"/>
        <w:ind w:firstLine="709"/>
        <w:jc w:val="both"/>
        <w:rPr>
          <w:rFonts w:ascii="PF DinText Pro" w:hAnsi="PF DinText Pro" w:cs="Times New Roman"/>
          <w:sz w:val="28"/>
          <w:szCs w:val="28"/>
        </w:rPr>
      </w:pPr>
      <w:hyperlink r:id="rId15" w:history="1">
        <w:r w:rsidRPr="00BE7171">
          <w:rPr>
            <w:rFonts w:ascii="PF DinText Pro" w:hAnsi="PF DinText Pro" w:cs="Times New Roman"/>
            <w:sz w:val="28"/>
            <w:szCs w:val="28"/>
          </w:rPr>
          <w:t>ОКТМО</w:t>
        </w:r>
      </w:hyperlink>
      <w:r w:rsidRPr="00BE7171">
        <w:rPr>
          <w:rFonts w:ascii="PF DinText Pro" w:hAnsi="PF DinText Pro" w:cs="Times New Roman"/>
          <w:sz w:val="28"/>
          <w:szCs w:val="28"/>
        </w:rPr>
        <w:t xml:space="preserve"> в уведомлении укажите по месту уплаты налога или взносов - адресу организации, ОП или недвижимости. </w:t>
      </w:r>
    </w:p>
    <w:p w:rsidR="00BE7171" w:rsidRPr="00BE7171" w:rsidRDefault="00BE7171" w:rsidP="00BE7171">
      <w:pPr>
        <w:pStyle w:val="a3"/>
        <w:ind w:firstLine="709"/>
        <w:jc w:val="both"/>
        <w:rPr>
          <w:rFonts w:ascii="PF DinText Pro" w:hAnsi="PF DinText Pro" w:cs="Times New Roman"/>
          <w:sz w:val="28"/>
          <w:szCs w:val="28"/>
        </w:rPr>
      </w:pPr>
      <w:hyperlink r:id="rId16" w:history="1">
        <w:r w:rsidRPr="00BE7171">
          <w:rPr>
            <w:rFonts w:ascii="PF DinText Pro" w:hAnsi="PF DinText Pro" w:cs="Times New Roman"/>
            <w:sz w:val="28"/>
            <w:szCs w:val="28"/>
          </w:rPr>
          <w:t>КБК</w:t>
        </w:r>
      </w:hyperlink>
      <w:r w:rsidRPr="00BE7171">
        <w:rPr>
          <w:rFonts w:ascii="PF DinText Pro" w:hAnsi="PF DinText Pro" w:cs="Times New Roman"/>
          <w:sz w:val="28"/>
          <w:szCs w:val="28"/>
        </w:rPr>
        <w:t xml:space="preserve"> в уведомлении - </w:t>
      </w:r>
      <w:hyperlink r:id="rId17" w:history="1">
        <w:r w:rsidRPr="00BE7171">
          <w:rPr>
            <w:rFonts w:ascii="PF DinText Pro" w:hAnsi="PF DinText Pro" w:cs="Times New Roman"/>
            <w:sz w:val="28"/>
            <w:szCs w:val="28"/>
          </w:rPr>
          <w:t>КБК</w:t>
        </w:r>
      </w:hyperlink>
      <w:r w:rsidRPr="00BE7171">
        <w:rPr>
          <w:rFonts w:ascii="PF DinText Pro" w:hAnsi="PF DinText Pro" w:cs="Times New Roman"/>
          <w:sz w:val="28"/>
          <w:szCs w:val="28"/>
        </w:rPr>
        <w:t xml:space="preserve"> конкретного налога или взносов.</w:t>
      </w:r>
    </w:p>
    <w:p w:rsidR="009F344C" w:rsidRPr="00BE7171" w:rsidRDefault="009F344C" w:rsidP="00BE7171">
      <w:pPr>
        <w:pStyle w:val="a3"/>
        <w:ind w:firstLine="709"/>
        <w:jc w:val="both"/>
        <w:rPr>
          <w:rFonts w:ascii="PF DinText Pro" w:hAnsi="PF DinText Pro" w:cs="Times New Roman"/>
          <w:sz w:val="28"/>
          <w:szCs w:val="28"/>
        </w:rPr>
      </w:pPr>
    </w:p>
    <w:p w:rsidR="00BE7171" w:rsidRPr="00BE7171" w:rsidRDefault="00BE7171" w:rsidP="00BE7171">
      <w:pPr>
        <w:pStyle w:val="a3"/>
        <w:ind w:firstLine="709"/>
        <w:jc w:val="right"/>
        <w:rPr>
          <w:rFonts w:ascii="PF DinText Pro" w:hAnsi="PF DinText Pro" w:cs="Times New Roman"/>
          <w:b/>
          <w:sz w:val="28"/>
          <w:szCs w:val="28"/>
        </w:rPr>
      </w:pPr>
      <w:proofErr w:type="gramStart"/>
      <w:r w:rsidRPr="00BE7171">
        <w:rPr>
          <w:rFonts w:ascii="PF DinText Pro" w:hAnsi="PF DinText Pro" w:cs="Times New Roman"/>
          <w:b/>
          <w:sz w:val="28"/>
          <w:szCs w:val="28"/>
        </w:rPr>
        <w:t>Межрайонная</w:t>
      </w:r>
      <w:proofErr w:type="gramEnd"/>
      <w:r w:rsidRPr="00BE7171">
        <w:rPr>
          <w:rFonts w:ascii="PF DinText Pro" w:hAnsi="PF DinText Pro" w:cs="Times New Roman"/>
          <w:b/>
          <w:sz w:val="28"/>
          <w:szCs w:val="28"/>
        </w:rPr>
        <w:t xml:space="preserve"> ИФНС России № 31 по Республике Башкортостан</w:t>
      </w:r>
    </w:p>
    <w:sectPr w:rsidR="00BE7171" w:rsidRPr="00BE7171" w:rsidSect="008C42C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Text Pro">
    <w:panose1 w:val="02000506020000020004"/>
    <w:charset w:val="CC"/>
    <w:family w:val="auto"/>
    <w:pitch w:val="variable"/>
    <w:sig w:usb0="E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E9"/>
    <w:rsid w:val="002236E9"/>
    <w:rsid w:val="009F344C"/>
    <w:rsid w:val="00B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1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BI&amp;n=320542&amp;dst=100002" TargetMode="External"/><Relationship Id="rId13" Type="http://schemas.openxmlformats.org/officeDocument/2006/relationships/hyperlink" Target="https://login.consultant.ru/link/?req=doc&amp;base=PBI&amp;n=21344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PBI&amp;n=320542&amp;dst=100023" TargetMode="External"/><Relationship Id="rId12" Type="http://schemas.openxmlformats.org/officeDocument/2006/relationships/hyperlink" Target="https://login.consultant.ru/link/?req=doc&amp;base=LAW&amp;n=437019&amp;dst=102988" TargetMode="External"/><Relationship Id="rId17" Type="http://schemas.openxmlformats.org/officeDocument/2006/relationships/hyperlink" Target="https://login.consultant.ru/link/?req=doc&amp;base=PBI&amp;n=1998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33507&amp;dst=1000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3507&amp;dst=100021" TargetMode="External"/><Relationship Id="rId11" Type="http://schemas.openxmlformats.org/officeDocument/2006/relationships/hyperlink" Target="https://login.consultant.ru/link/?req=doc&amp;base=PBI&amp;n=1328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3507&amp;dst=100050" TargetMode="External"/><Relationship Id="rId10" Type="http://schemas.openxmlformats.org/officeDocument/2006/relationships/hyperlink" Target="https://login.consultant.ru/link/?req=doc&amp;base=PBI&amp;n=320542&amp;dst=10004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PBI&amp;n=320542&amp;dst=100036" TargetMode="External"/><Relationship Id="rId14" Type="http://schemas.openxmlformats.org/officeDocument/2006/relationships/hyperlink" Target="https://login.consultant.ru/link/?req=doc&amp;base=PBI&amp;n=1623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0273-10-147</dc:creator>
  <cp:keywords/>
  <dc:description/>
  <cp:lastModifiedBy>0273-10-147</cp:lastModifiedBy>
  <cp:revision>2</cp:revision>
  <dcterms:created xsi:type="dcterms:W3CDTF">2024-01-10T04:06:00Z</dcterms:created>
  <dcterms:modified xsi:type="dcterms:W3CDTF">2024-01-10T04:12:00Z</dcterms:modified>
</cp:coreProperties>
</file>