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ED" w:rsidRDefault="009202ED" w:rsidP="009202ED">
      <w:pPr>
        <w:pStyle w:val="1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ПРОТОКОЛ </w:t>
      </w:r>
    </w:p>
    <w:p w:rsidR="009202ED" w:rsidRDefault="009202ED" w:rsidP="009202E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ПО ПРОЕКТУ ГЕНЕРАЛЬНОГО ПЛАНА  СЕЛЬСКОГО ПОСЕЛЕНИЯ КИДРЯЧЕВСКИЙ СЕЛЬСОВЕТ МР ДАВЛЕКАНОВСКИЙ РАЙОН РЕСПУБЛИКИ БАШКОРТОСТАН</w:t>
      </w:r>
    </w:p>
    <w:bookmarkEnd w:id="0"/>
    <w:p w:rsidR="009202ED" w:rsidRDefault="009202ED" w:rsidP="009202ED">
      <w:pPr>
        <w:pStyle w:val="a0"/>
        <w:jc w:val="center"/>
        <w:rPr>
          <w:rStyle w:val="a5"/>
        </w:rPr>
      </w:pPr>
      <w:r>
        <w:rPr>
          <w:rStyle w:val="a5"/>
        </w:rPr>
        <w:t xml:space="preserve">Место и время проведения публичных слушаний: </w:t>
      </w:r>
    </w:p>
    <w:p w:rsidR="009202ED" w:rsidRDefault="009202ED" w:rsidP="009202ED">
      <w:pPr>
        <w:pStyle w:val="a0"/>
      </w:pPr>
      <w:r>
        <w:t xml:space="preserve">село Кидрячево –  помещение сельского дома культуры </w:t>
      </w:r>
      <w:proofErr w:type="spellStart"/>
      <w:r>
        <w:t>с</w:t>
      </w:r>
      <w:proofErr w:type="gramStart"/>
      <w:r>
        <w:t>.К</w:t>
      </w:r>
      <w:proofErr w:type="gramEnd"/>
      <w:r>
        <w:t>идрячево</w:t>
      </w:r>
      <w:proofErr w:type="spellEnd"/>
      <w:r>
        <w:t>, </w:t>
      </w:r>
      <w:r>
        <w:t xml:space="preserve">6 декабря 2013 г.  в 15.00 часов.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7695"/>
        <w:gridCol w:w="45"/>
      </w:tblGrid>
      <w:tr w:rsidR="009202ED" w:rsidTr="009202ED">
        <w:trPr>
          <w:trHeight w:val="916"/>
        </w:trPr>
        <w:tc>
          <w:tcPr>
            <w:tcW w:w="9780" w:type="dxa"/>
            <w:gridSpan w:val="2"/>
            <w:shd w:val="clear" w:color="auto" w:fill="auto"/>
            <w:vAlign w:val="bottom"/>
          </w:tcPr>
          <w:p w:rsidR="009202ED" w:rsidRDefault="009202ED" w:rsidP="00435C68">
            <w:pPr>
              <w:pStyle w:val="a7"/>
              <w:snapToGrid w:val="0"/>
              <w:spacing w:after="283"/>
              <w:rPr>
                <w:b/>
              </w:rPr>
            </w:pPr>
            <w:r>
              <w:rPr>
                <w:b/>
              </w:rPr>
              <w:t>Участники публичных слушаний:</w:t>
            </w:r>
          </w:p>
          <w:p w:rsidR="009202ED" w:rsidRDefault="009202ED" w:rsidP="00435C68">
            <w:pPr>
              <w:pStyle w:val="a7"/>
              <w:spacing w:after="283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идрячево</w:t>
            </w:r>
            <w:proofErr w:type="spellEnd"/>
            <w:r>
              <w:t xml:space="preserve">, с.Чапаево, </w:t>
            </w:r>
            <w:proofErr w:type="spellStart"/>
            <w:r>
              <w:t>с.Бурангулово</w:t>
            </w:r>
            <w:proofErr w:type="spellEnd"/>
            <w:r>
              <w:t xml:space="preserve"> </w:t>
            </w:r>
          </w:p>
        </w:tc>
        <w:tc>
          <w:tcPr>
            <w:tcW w:w="45" w:type="dxa"/>
            <w:shd w:val="clear" w:color="auto" w:fill="auto"/>
          </w:tcPr>
          <w:p w:rsidR="009202ED" w:rsidRDefault="009202ED" w:rsidP="00435C68">
            <w:pPr>
              <w:snapToGrid w:val="0"/>
            </w:pPr>
          </w:p>
        </w:tc>
      </w:tr>
      <w:tr w:rsidR="009202ED" w:rsidTr="009202ED">
        <w:trPr>
          <w:trHeight w:val="223"/>
        </w:trPr>
        <w:tc>
          <w:tcPr>
            <w:tcW w:w="9780" w:type="dxa"/>
            <w:gridSpan w:val="2"/>
            <w:shd w:val="clear" w:color="auto" w:fill="auto"/>
            <w:vAlign w:val="bottom"/>
          </w:tcPr>
          <w:p w:rsidR="009202ED" w:rsidRDefault="009202ED" w:rsidP="00435C68">
            <w:pPr>
              <w:pStyle w:val="a7"/>
              <w:snapToGrid w:val="0"/>
              <w:spacing w:after="283"/>
            </w:pPr>
          </w:p>
        </w:tc>
        <w:tc>
          <w:tcPr>
            <w:tcW w:w="45" w:type="dxa"/>
            <w:shd w:val="clear" w:color="auto" w:fill="auto"/>
          </w:tcPr>
          <w:p w:rsidR="009202ED" w:rsidRDefault="009202ED" w:rsidP="00435C68">
            <w:pPr>
              <w:snapToGrid w:val="0"/>
            </w:pPr>
          </w:p>
        </w:tc>
      </w:tr>
      <w:tr w:rsidR="009202ED" w:rsidTr="00435C68">
        <w:tc>
          <w:tcPr>
            <w:tcW w:w="2085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 xml:space="preserve">Сафин И.Н. 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 xml:space="preserve"> - глава  сельского  поселения, </w:t>
            </w:r>
          </w:p>
          <w:p w:rsidR="009202ED" w:rsidRDefault="009202ED" w:rsidP="00435C68">
            <w:pPr>
              <w:pStyle w:val="a7"/>
              <w:spacing w:after="283"/>
            </w:pPr>
            <w:r>
              <w:t>   председатель комиссии;  </w:t>
            </w:r>
          </w:p>
        </w:tc>
      </w:tr>
      <w:tr w:rsidR="009202ED" w:rsidTr="009202ED">
        <w:trPr>
          <w:trHeight w:val="247"/>
        </w:trPr>
        <w:tc>
          <w:tcPr>
            <w:tcW w:w="2085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>Нургалеева Э.М.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 xml:space="preserve"> - управляющий делами  сельского поселения, секретарь комиссии </w:t>
            </w:r>
          </w:p>
        </w:tc>
      </w:tr>
      <w:tr w:rsidR="009202ED" w:rsidTr="00435C68">
        <w:tc>
          <w:tcPr>
            <w:tcW w:w="2085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>Сахибгареева Ф.Г. 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 xml:space="preserve"> Специалист 1 категории сельского   поселения </w:t>
            </w:r>
          </w:p>
        </w:tc>
      </w:tr>
      <w:tr w:rsidR="009202ED" w:rsidTr="00435C68">
        <w:trPr>
          <w:trHeight w:val="865"/>
        </w:trPr>
        <w:tc>
          <w:tcPr>
            <w:tcW w:w="2085" w:type="dxa"/>
            <w:shd w:val="clear" w:color="auto" w:fill="auto"/>
          </w:tcPr>
          <w:p w:rsidR="009202ED" w:rsidRPr="0088070E" w:rsidRDefault="009202ED" w:rsidP="00435C68">
            <w:pPr>
              <w:pStyle w:val="a7"/>
              <w:snapToGrid w:val="0"/>
              <w:spacing w:after="283"/>
            </w:pPr>
            <w:r>
              <w:t>Селезнев И.Г.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9202ED">
            <w:pPr>
              <w:pStyle w:val="a7"/>
              <w:snapToGrid w:val="0"/>
              <w:spacing w:after="283"/>
            </w:pPr>
            <w:r>
              <w:t>- начальник отдела архитектуры администрации  МР Давлекано</w:t>
            </w:r>
            <w:r>
              <w:t xml:space="preserve">вский район (по согласованию) </w:t>
            </w:r>
          </w:p>
        </w:tc>
      </w:tr>
      <w:tr w:rsidR="009202ED" w:rsidTr="00435C68">
        <w:tc>
          <w:tcPr>
            <w:tcW w:w="2085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>Касимов К.С.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 xml:space="preserve">- депутат Совета сельского поселения </w:t>
            </w:r>
          </w:p>
        </w:tc>
      </w:tr>
      <w:tr w:rsidR="009202ED" w:rsidTr="00435C68">
        <w:trPr>
          <w:trHeight w:val="751"/>
        </w:trPr>
        <w:tc>
          <w:tcPr>
            <w:tcW w:w="2085" w:type="dxa"/>
            <w:shd w:val="clear" w:color="auto" w:fill="auto"/>
          </w:tcPr>
          <w:p w:rsidR="009202ED" w:rsidRPr="0088070E" w:rsidRDefault="009202ED" w:rsidP="00435C68">
            <w:pPr>
              <w:pStyle w:val="a7"/>
              <w:snapToGrid w:val="0"/>
              <w:spacing w:after="283"/>
            </w:pPr>
            <w:r>
              <w:t>Минигалина Ф.Г.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9202ED">
            <w:pPr>
              <w:pStyle w:val="a7"/>
              <w:snapToGrid w:val="0"/>
              <w:spacing w:after="283"/>
            </w:pPr>
            <w:r>
              <w:t>- депу</w:t>
            </w:r>
            <w:r>
              <w:t xml:space="preserve">тат Совета сельского поселения </w:t>
            </w:r>
          </w:p>
        </w:tc>
      </w:tr>
      <w:tr w:rsidR="009202ED" w:rsidTr="00435C68">
        <w:tc>
          <w:tcPr>
            <w:tcW w:w="2085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>Шафикова З.Б.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</w:pPr>
            <w:r>
              <w:t xml:space="preserve">депутат Совета сельского поселения </w:t>
            </w:r>
          </w:p>
        </w:tc>
      </w:tr>
    </w:tbl>
    <w:p w:rsidR="009202ED" w:rsidRDefault="009202ED" w:rsidP="009202ED">
      <w:pPr>
        <w:pStyle w:val="a0"/>
      </w:pPr>
      <w:r>
        <w:t xml:space="preserve"> В публичных слушаниях приняли участие 41 человека: </w:t>
      </w:r>
    </w:p>
    <w:p w:rsidR="009202ED" w:rsidRPr="0088070E" w:rsidRDefault="009202ED" w:rsidP="009202ED">
      <w:pPr>
        <w:pStyle w:val="a0"/>
      </w:pPr>
      <w:r>
        <w:t> </w:t>
      </w:r>
      <w:r>
        <w:rPr>
          <w:b/>
        </w:rPr>
        <w:t xml:space="preserve">Предмет слушаний: </w:t>
      </w:r>
    </w:p>
    <w:p w:rsidR="009202ED" w:rsidRDefault="009202ED" w:rsidP="009202ED">
      <w:pPr>
        <w:pStyle w:val="a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Рассмотрение проекта генерального плана  сельского поселения Кидрячевский сельсовет , разработанного  автономной некоммерческой организацией «Инженерно-технический центр» </w:t>
      </w:r>
      <w:proofErr w:type="spellStart"/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фа</w:t>
      </w:r>
      <w:proofErr w:type="spellEnd"/>
      <w:r>
        <w:rPr>
          <w:b/>
        </w:rPr>
        <w:t xml:space="preserve">. </w:t>
      </w:r>
    </w:p>
    <w:p w:rsidR="009202ED" w:rsidRPr="0088070E" w:rsidRDefault="009202ED" w:rsidP="009202ED">
      <w:pPr>
        <w:pStyle w:val="a0"/>
        <w:jc w:val="both"/>
        <w:rPr>
          <w:b/>
        </w:rPr>
      </w:pPr>
      <w:r w:rsidRPr="0088070E">
        <w:rPr>
          <w:b/>
        </w:rPr>
        <w:t xml:space="preserve">Основание для проведения публичных слушаний: </w:t>
      </w:r>
    </w:p>
    <w:p w:rsidR="009202ED" w:rsidRPr="0088070E" w:rsidRDefault="009202ED" w:rsidP="009202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Совета</w:t>
      </w:r>
      <w:r w:rsidRPr="0088070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Кидрячевский сельсовет от 16.11.2012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88070E">
        <w:rPr>
          <w:rFonts w:ascii="Times New Roman" w:hAnsi="Times New Roman" w:cs="Times New Roman"/>
          <w:b w:val="0"/>
          <w:sz w:val="24"/>
          <w:szCs w:val="24"/>
        </w:rPr>
        <w:t xml:space="preserve"> № 39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88070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проведения публичных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070E">
        <w:rPr>
          <w:rFonts w:ascii="Times New Roman" w:hAnsi="Times New Roman" w:cs="Times New Roman"/>
          <w:b w:val="0"/>
          <w:sz w:val="24"/>
          <w:szCs w:val="24"/>
        </w:rPr>
        <w:t>слушаний в сфере гр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адостроительной деятельности на </w:t>
      </w:r>
      <w:r w:rsidRPr="0088070E">
        <w:rPr>
          <w:rFonts w:ascii="Times New Roman" w:hAnsi="Times New Roman" w:cs="Times New Roman"/>
          <w:b w:val="0"/>
          <w:sz w:val="24"/>
          <w:szCs w:val="24"/>
        </w:rPr>
        <w:t>территории сельского поселения  Кидрячевский сельсовет муниципального района Давлекановский район Республики Башкортостан</w:t>
      </w:r>
      <w:r w:rsidRPr="008807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202ED" w:rsidRDefault="009202ED" w:rsidP="009202ED">
      <w:pPr>
        <w:pStyle w:val="a0"/>
        <w:rPr>
          <w:b/>
        </w:rPr>
      </w:pPr>
      <w:r>
        <w:rPr>
          <w:b/>
        </w:rPr>
        <w:t xml:space="preserve">Порядок проведения публичных слушаний: </w:t>
      </w:r>
    </w:p>
    <w:p w:rsidR="009202ED" w:rsidRDefault="009202ED" w:rsidP="009202ED">
      <w:pPr>
        <w:pStyle w:val="a0"/>
        <w:rPr>
          <w:b/>
        </w:rPr>
      </w:pPr>
      <w:r>
        <w:t xml:space="preserve">     </w:t>
      </w:r>
      <w:r>
        <w:rPr>
          <w:b/>
        </w:rPr>
        <w:t xml:space="preserve">1. Выступления: </w:t>
      </w:r>
    </w:p>
    <w:p w:rsidR="009202ED" w:rsidRDefault="009202ED" w:rsidP="009202ED">
      <w:pPr>
        <w:pStyle w:val="a0"/>
      </w:pPr>
      <w:r>
        <w:t xml:space="preserve">     Главы  сельского поселения Кидрячевский сельсовет Сафин И.Н., </w:t>
      </w:r>
    </w:p>
    <w:p w:rsidR="009202ED" w:rsidRDefault="009202ED" w:rsidP="009202ED">
      <w:pPr>
        <w:pStyle w:val="a0"/>
      </w:pPr>
      <w:r>
        <w:t xml:space="preserve">     начальника отдела архитектуры администрации  МР Давлекановский район Селезнев И.Г.  </w:t>
      </w:r>
    </w:p>
    <w:p w:rsidR="009202ED" w:rsidRDefault="009202ED" w:rsidP="009202ED">
      <w:pPr>
        <w:pStyle w:val="a0"/>
      </w:pPr>
      <w:r>
        <w:lastRenderedPageBreak/>
        <w:t xml:space="preserve">   2. Рассмотрение вопросов и предложений участников публичных слушаний. </w:t>
      </w:r>
    </w:p>
    <w:p w:rsidR="009202ED" w:rsidRDefault="009202ED" w:rsidP="009202ED">
      <w:pPr>
        <w:pStyle w:val="a0"/>
      </w:pPr>
      <w:r>
        <w:t xml:space="preserve">По предложенному Главой поселения Сафиным И.Н. порядку проведения публичных слушаний – замечаний и предложений от участников слушаний не поступило. </w:t>
      </w:r>
    </w:p>
    <w:p w:rsidR="009202ED" w:rsidRDefault="009202ED" w:rsidP="009202ED">
      <w:pPr>
        <w:pStyle w:val="a0"/>
      </w:pPr>
      <w:r>
        <w:t xml:space="preserve">     Глава  сельского поселения Сафин И.Н. начальник отдела архитектуры администрации  МР Давлекановский  район Селезнев И.Г. - ознакомили участников публичных слушаний </w:t>
      </w:r>
      <w:proofErr w:type="gramStart"/>
      <w:r>
        <w:t>с</w:t>
      </w:r>
      <w:proofErr w:type="gramEnd"/>
      <w:r>
        <w:t xml:space="preserve">: </w:t>
      </w:r>
    </w:p>
    <w:p w:rsidR="009202ED" w:rsidRDefault="009202ED" w:rsidP="009202ED">
      <w:pPr>
        <w:pStyle w:val="a0"/>
      </w:pPr>
      <w:r>
        <w:t xml:space="preserve">-  проектом положений о территориальном планировании, </w:t>
      </w:r>
    </w:p>
    <w:p w:rsidR="009202ED" w:rsidRDefault="009202ED" w:rsidP="009202ED">
      <w:pPr>
        <w:pStyle w:val="a0"/>
      </w:pPr>
      <w:r>
        <w:t>содержащихся  в генеральном плане сельского поселения и включающи</w:t>
      </w:r>
      <w:bookmarkStart w:id="1" w:name="sub_23051"/>
      <w:bookmarkEnd w:id="1"/>
      <w:r>
        <w:t>х в себя цели и задачи территориального планирования</w:t>
      </w:r>
      <w:bookmarkStart w:id="2" w:name="sub_23052"/>
      <w:bookmarkEnd w:id="2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9202ED" w:rsidRDefault="009202ED" w:rsidP="009202ED">
      <w:pPr>
        <w:pStyle w:val="a0"/>
      </w:pPr>
      <w:r>
        <w:t xml:space="preserve">- проектами карт  (схем), на которых отображена информация,  предусмотренная </w:t>
      </w:r>
      <w:hyperlink r:id="rId6" w:history="1">
        <w:r>
          <w:rPr>
            <w:rStyle w:val="a4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9202ED" w:rsidRDefault="009202ED" w:rsidP="009202ED">
      <w:pPr>
        <w:pStyle w:val="a0"/>
      </w:pPr>
      <w:r>
        <w:t xml:space="preserve">            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9202ED" w:rsidRDefault="009202ED" w:rsidP="009202ED">
      <w:pPr>
        <w:pStyle w:val="a0"/>
      </w:pPr>
      <w:r>
        <w:t>          Целью  разработки генерального плана сельского   поселения Кидрячевский сельсовет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9202ED" w:rsidRDefault="009202ED" w:rsidP="009202ED">
      <w:pPr>
        <w:pStyle w:val="a0"/>
      </w:pPr>
      <w: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9202ED" w:rsidRDefault="009202ED" w:rsidP="009202ED">
      <w:pPr>
        <w:pStyle w:val="a0"/>
      </w:pPr>
      <w:r>
        <w:t xml:space="preserve">          Основные задачи генерального плана: </w:t>
      </w:r>
    </w:p>
    <w:p w:rsidR="009202ED" w:rsidRDefault="009202ED" w:rsidP="009202ED">
      <w:pPr>
        <w:pStyle w:val="a0"/>
      </w:pPr>
      <w:r>
        <w:t xml:space="preserve">     выявление проблем градостроительного развития территории поселения; </w:t>
      </w:r>
    </w:p>
    <w:p w:rsidR="009202ED" w:rsidRDefault="009202ED" w:rsidP="009202ED">
      <w:pPr>
        <w:pStyle w:val="a0"/>
      </w:pPr>
      <w:r>
        <w:t xml:space="preserve">    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9202ED" w:rsidRDefault="009202ED" w:rsidP="009202ED">
      <w:pPr>
        <w:pStyle w:val="a0"/>
      </w:pPr>
      <w:r>
        <w:t xml:space="preserve">    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9202ED" w:rsidRDefault="009202ED" w:rsidP="009202ED">
      <w:pPr>
        <w:pStyle w:val="a0"/>
      </w:pPr>
      <w:r>
        <w:t xml:space="preserve">         При разработке генерального плана учитывались: </w:t>
      </w:r>
    </w:p>
    <w:p w:rsidR="009202ED" w:rsidRDefault="009202ED" w:rsidP="009202ED">
      <w:pPr>
        <w:pStyle w:val="a0"/>
      </w:pPr>
      <w:r>
        <w:t xml:space="preserve">     особенности поселения, в том числе численность населения, отраслевая специализация его производственного комплекса; </w:t>
      </w:r>
    </w:p>
    <w:p w:rsidR="009202ED" w:rsidRDefault="009202ED" w:rsidP="009202ED">
      <w:pPr>
        <w:pStyle w:val="a0"/>
      </w:pPr>
      <w:r>
        <w:t xml:space="preserve">     значение поселения в системе расселения и административно-территориальном устройстве субъекта Российской Федерации; </w:t>
      </w:r>
    </w:p>
    <w:p w:rsidR="009202ED" w:rsidRDefault="009202ED" w:rsidP="009202ED">
      <w:pPr>
        <w:pStyle w:val="a0"/>
      </w:pPr>
      <w:r>
        <w:lastRenderedPageBreak/>
        <w:t xml:space="preserve">     особенности типов жилой застройки; </w:t>
      </w:r>
    </w:p>
    <w:p w:rsidR="009202ED" w:rsidRDefault="009202ED" w:rsidP="009202ED">
      <w:pPr>
        <w:pStyle w:val="a0"/>
      </w:pPr>
      <w:r>
        <w:t xml:space="preserve">     состояние инженерной и транспортной инфраструктур, направления их модернизации; </w:t>
      </w:r>
    </w:p>
    <w:p w:rsidR="009202ED" w:rsidRDefault="009202ED" w:rsidP="009202ED">
      <w:pPr>
        <w:pStyle w:val="a0"/>
      </w:pPr>
      <w:r>
        <w:t xml:space="preserve">     природно-ресурсный потенциал; </w:t>
      </w:r>
    </w:p>
    <w:p w:rsidR="009202ED" w:rsidRDefault="009202ED" w:rsidP="009202ED">
      <w:pPr>
        <w:pStyle w:val="a0"/>
      </w:pPr>
      <w:r>
        <w:t xml:space="preserve">     природно-климатические, национальные и иные особенности. </w:t>
      </w:r>
    </w:p>
    <w:p w:rsidR="009202ED" w:rsidRDefault="009202ED" w:rsidP="009202ED">
      <w:pPr>
        <w:pStyle w:val="a0"/>
      </w:pPr>
      <w: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9202ED" w:rsidRDefault="009202ED" w:rsidP="009202ED">
      <w:pPr>
        <w:pStyle w:val="a0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9202ED" w:rsidRDefault="009202ED" w:rsidP="009202ED">
      <w:pPr>
        <w:pStyle w:val="a0"/>
      </w:pPr>
      <w:r>
        <w:t>     объектов электро-, тепл</w:t>
      </w:r>
      <w:proofErr w:type="gramStart"/>
      <w:r>
        <w:t>о-</w:t>
      </w:r>
      <w:proofErr w:type="gramEnd"/>
      <w:r>
        <w:t xml:space="preserve">, газо- и водоснабжения населения в границах поселения; </w:t>
      </w:r>
    </w:p>
    <w:p w:rsidR="009202ED" w:rsidRDefault="009202ED" w:rsidP="009202ED">
      <w:pPr>
        <w:pStyle w:val="a0"/>
      </w:pPr>
      <w:r>
        <w:t xml:space="preserve"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9202ED" w:rsidRDefault="009202ED" w:rsidP="009202ED">
      <w:pPr>
        <w:pStyle w:val="a0"/>
      </w:pPr>
      <w:r>
        <w:t xml:space="preserve">     иных объектов, размещение которых необходимо для осуществления полномочий органов местного самоуправления поселения. </w:t>
      </w:r>
    </w:p>
    <w:p w:rsidR="009202ED" w:rsidRDefault="009202ED" w:rsidP="009202ED">
      <w:pPr>
        <w:pStyle w:val="a0"/>
      </w:pPr>
      <w:r>
        <w:t xml:space="preserve">         На картах (схемах), содержащихся в генеральных планах, отображаются: </w:t>
      </w:r>
    </w:p>
    <w:p w:rsidR="009202ED" w:rsidRDefault="009202ED" w:rsidP="009202ED">
      <w:pPr>
        <w:pStyle w:val="a0"/>
      </w:pPr>
      <w:r>
        <w:t xml:space="preserve">     границы поселения; </w:t>
      </w:r>
    </w:p>
    <w:p w:rsidR="009202ED" w:rsidRDefault="009202ED" w:rsidP="009202ED">
      <w:pPr>
        <w:pStyle w:val="a0"/>
      </w:pPr>
      <w:r>
        <w:t xml:space="preserve">     границы населенных пунктов, входящих в состав поселения; </w:t>
      </w:r>
    </w:p>
    <w:p w:rsidR="009202ED" w:rsidRDefault="009202ED" w:rsidP="009202ED">
      <w:pPr>
        <w:pStyle w:val="a0"/>
      </w:pPr>
      <w:r>
        <w:t xml:space="preserve">    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9202ED" w:rsidRDefault="009202ED" w:rsidP="009202ED">
      <w:pPr>
        <w:pStyle w:val="a0"/>
      </w:pPr>
      <w:r>
        <w:t xml:space="preserve">     существующие и планируемые границы земель промышленности, энергетики, транспорта, связи; </w:t>
      </w:r>
    </w:p>
    <w:p w:rsidR="009202ED" w:rsidRDefault="009202ED" w:rsidP="009202ED">
      <w:pPr>
        <w:pStyle w:val="a0"/>
      </w:pPr>
      <w:r>
        <w:t xml:space="preserve">    границы функциональных зон с отображением параметров планируемого развития таких зон; </w:t>
      </w:r>
    </w:p>
    <w:p w:rsidR="009202ED" w:rsidRDefault="009202ED" w:rsidP="009202ED">
      <w:pPr>
        <w:pStyle w:val="a0"/>
      </w:pPr>
      <w:r>
        <w:t xml:space="preserve">    границы территорий объектов культурного наследия; </w:t>
      </w:r>
    </w:p>
    <w:p w:rsidR="009202ED" w:rsidRDefault="009202ED" w:rsidP="009202ED">
      <w:pPr>
        <w:pStyle w:val="a0"/>
      </w:pPr>
      <w:r>
        <w:t xml:space="preserve">     границы зон с особыми условиями использования территорий; </w:t>
      </w:r>
    </w:p>
    <w:p w:rsidR="009202ED" w:rsidRDefault="009202ED" w:rsidP="009202ED">
      <w:pPr>
        <w:pStyle w:val="a0"/>
      </w:pPr>
      <w:r>
        <w:t xml:space="preserve">     границы зон планируемого размещения объектов капитального строительства федерального и регионального значения; </w:t>
      </w:r>
    </w:p>
    <w:p w:rsidR="009202ED" w:rsidRDefault="009202ED" w:rsidP="009202ED">
      <w:pPr>
        <w:pStyle w:val="a0"/>
      </w:pPr>
      <w:r>
        <w:t xml:space="preserve">    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9202ED" w:rsidRDefault="009202ED" w:rsidP="009202ED">
      <w:pPr>
        <w:pStyle w:val="a0"/>
      </w:pPr>
      <w:r>
        <w:t xml:space="preserve">     границы зон инженерной и транспортной инфраструктур. </w:t>
      </w:r>
    </w:p>
    <w:p w:rsidR="009202ED" w:rsidRDefault="009202ED" w:rsidP="009202ED">
      <w:pPr>
        <w:pStyle w:val="a0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9202ED" w:rsidRDefault="009202ED" w:rsidP="009202ED">
      <w:pPr>
        <w:pStyle w:val="a0"/>
      </w:pPr>
      <w:r>
        <w:t xml:space="preserve">     </w:t>
      </w:r>
      <w:proofErr w:type="gramStart"/>
      <w: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9202ED" w:rsidRDefault="009202ED" w:rsidP="009202ED">
      <w:pPr>
        <w:pStyle w:val="a0"/>
      </w:pPr>
      <w:r>
        <w:lastRenderedPageBreak/>
        <w:t xml:space="preserve">     К основным мероприятиям по территориальному планированию сельского поселения относятся: </w:t>
      </w:r>
    </w:p>
    <w:p w:rsidR="009202ED" w:rsidRDefault="009202ED" w:rsidP="009202ED">
      <w:pPr>
        <w:pStyle w:val="a0"/>
      </w:pPr>
      <w:r>
        <w:t xml:space="preserve"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9202ED" w:rsidRDefault="009202ED" w:rsidP="009202ED">
      <w:pPr>
        <w:pStyle w:val="a0"/>
      </w:pPr>
      <w:r>
        <w:t xml:space="preserve"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9202ED" w:rsidRDefault="009202ED" w:rsidP="009202ED">
      <w:pPr>
        <w:pStyle w:val="a0"/>
      </w:pPr>
      <w:r>
        <w:t xml:space="preserve"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 </w:t>
      </w:r>
    </w:p>
    <w:p w:rsidR="009202ED" w:rsidRDefault="009202ED" w:rsidP="009202ED">
      <w:pPr>
        <w:pStyle w:val="a0"/>
      </w:pPr>
      <w:r>
        <w:t xml:space="preserve">     создание комплексных общественно-деловых и производственно-коммунальных зон; </w:t>
      </w:r>
    </w:p>
    <w:p w:rsidR="009202ED" w:rsidRDefault="009202ED" w:rsidP="009202ED">
      <w:pPr>
        <w:pStyle w:val="a0"/>
      </w:pPr>
      <w:r>
        <w:t>     развитие и реконструкция объектов и сетей инженерно-технической инфраструктуры;     </w:t>
      </w:r>
    </w:p>
    <w:p w:rsidR="009202ED" w:rsidRDefault="009202ED" w:rsidP="009202ED">
      <w:pPr>
        <w:pStyle w:val="a0"/>
      </w:pPr>
      <w:r>
        <w:t xml:space="preserve"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9202ED" w:rsidRDefault="009202ED" w:rsidP="009202ED">
      <w:pPr>
        <w:pStyle w:val="a0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>
        <w:t>для</w:t>
      </w:r>
      <w:proofErr w:type="gramEnd"/>
      <w:r>
        <w:t xml:space="preserve"> жилищного, в основном малоэтажного. </w:t>
      </w:r>
    </w:p>
    <w:p w:rsidR="009202ED" w:rsidRDefault="009202ED" w:rsidP="009202ED">
      <w:pPr>
        <w:pStyle w:val="a0"/>
      </w:pPr>
      <w: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9202ED" w:rsidRDefault="009202ED" w:rsidP="009202ED">
      <w:pPr>
        <w:pStyle w:val="a0"/>
      </w:pPr>
      <w:r>
        <w:t xml:space="preserve">     расчетный срок генерального плана  сельского поселения, на который рассчитаны все основные проектные решения генерального плана, - 2030 год; </w:t>
      </w:r>
    </w:p>
    <w:p w:rsidR="009202ED" w:rsidRDefault="009202ED" w:rsidP="009202ED">
      <w:pPr>
        <w:pStyle w:val="a0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9202ED" w:rsidRDefault="009202ED" w:rsidP="009202ED">
      <w:pPr>
        <w:pStyle w:val="a0"/>
      </w:pPr>
      <w:r>
        <w:t xml:space="preserve">     Генплан действует на территории  сельского поселения в пределах границ поселения. </w:t>
      </w:r>
    </w:p>
    <w:p w:rsidR="009202ED" w:rsidRDefault="009202ED" w:rsidP="009202ED">
      <w:pPr>
        <w:pStyle w:val="a0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9202ED" w:rsidRDefault="009202ED" w:rsidP="009202ED">
      <w:pPr>
        <w:pStyle w:val="a0"/>
      </w:pPr>
      <w: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9202ED" w:rsidRDefault="009202ED" w:rsidP="009202ED">
      <w:pPr>
        <w:pStyle w:val="a0"/>
        <w:rPr>
          <w:rStyle w:val="a5"/>
        </w:rPr>
      </w:pPr>
      <w:r>
        <w:t>    </w:t>
      </w:r>
      <w:r>
        <w:rPr>
          <w:rStyle w:val="a5"/>
        </w:rPr>
        <w:t xml:space="preserve"> Возражений, предложений и замечаний в ходе публичных слушаний не поступило. </w:t>
      </w:r>
    </w:p>
    <w:p w:rsidR="009202ED" w:rsidRDefault="009202ED" w:rsidP="009202ED">
      <w:pPr>
        <w:pStyle w:val="a0"/>
      </w:pPr>
      <w:r>
        <w:t xml:space="preserve">     По результатам публичных слушаний по проекту генерального плана  сельского поселения </w:t>
      </w:r>
      <w:bookmarkStart w:id="3" w:name="sub_28091"/>
      <w:bookmarkEnd w:id="3"/>
      <w:r>
        <w:t xml:space="preserve">было рекомендовано согласовать проект генерального плана  сельского поселения. Направить проект генерального плана для согласования в соответствии с порядком, установленным Градостроительным кодексом Российской Федерации. </w:t>
      </w:r>
    </w:p>
    <w:p w:rsidR="009202ED" w:rsidRDefault="009202ED" w:rsidP="009202ED">
      <w:pPr>
        <w:pStyle w:val="a0"/>
      </w:pPr>
      <w:r>
        <w:lastRenderedPageBreak/>
        <w:t>     Заключения о результатах публичных слушаний подлежат  размещению  на официальном сайте в сети «Интернет»</w:t>
      </w:r>
      <w:proofErr w:type="gramStart"/>
      <w:r>
        <w:t xml:space="preserve"> ,</w:t>
      </w:r>
      <w:proofErr w:type="gramEnd"/>
      <w:r>
        <w:t xml:space="preserve"> а также на информационном стенде сельского поселения. </w:t>
      </w:r>
    </w:p>
    <w:p w:rsidR="009202ED" w:rsidRDefault="009202ED" w:rsidP="009202ED">
      <w:pPr>
        <w:pStyle w:val="a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9202ED" w:rsidTr="00435C68">
        <w:tc>
          <w:tcPr>
            <w:tcW w:w="4920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  <w:rPr>
                <w:rStyle w:val="a5"/>
              </w:rPr>
            </w:pPr>
            <w:r>
              <w:rPr>
                <w:rStyle w:val="a5"/>
              </w:rPr>
              <w:t>Председатель комиссии</w:t>
            </w:r>
          </w:p>
        </w:tc>
        <w:tc>
          <w:tcPr>
            <w:tcW w:w="4920" w:type="dxa"/>
            <w:shd w:val="clear" w:color="auto" w:fill="auto"/>
          </w:tcPr>
          <w:p w:rsidR="009202ED" w:rsidRPr="0088070E" w:rsidRDefault="009202ED" w:rsidP="00435C68">
            <w:pPr>
              <w:pStyle w:val="a7"/>
              <w:snapToGrid w:val="0"/>
              <w:spacing w:after="283"/>
              <w:rPr>
                <w:b/>
                <w:bCs/>
              </w:rPr>
            </w:pPr>
            <w:proofErr w:type="spellStart"/>
            <w:r>
              <w:rPr>
                <w:rStyle w:val="a5"/>
              </w:rPr>
              <w:t>И.Н.Сафин</w:t>
            </w:r>
            <w:proofErr w:type="spellEnd"/>
            <w:r>
              <w:t> </w:t>
            </w:r>
          </w:p>
        </w:tc>
      </w:tr>
      <w:tr w:rsidR="009202ED" w:rsidTr="00435C68">
        <w:tc>
          <w:tcPr>
            <w:tcW w:w="4920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  <w:rPr>
                <w:rStyle w:val="a5"/>
              </w:rPr>
            </w:pPr>
            <w:r>
              <w:rPr>
                <w:rStyle w:val="a5"/>
              </w:rPr>
              <w:t xml:space="preserve">Секретарь комиссии </w:t>
            </w:r>
          </w:p>
          <w:p w:rsidR="009202ED" w:rsidRDefault="009202ED" w:rsidP="00435C68">
            <w:pPr>
              <w:pStyle w:val="a7"/>
              <w:spacing w:after="283"/>
            </w:pPr>
            <w:r>
              <w:t> </w:t>
            </w:r>
          </w:p>
          <w:p w:rsidR="009202ED" w:rsidRDefault="009202ED" w:rsidP="00435C68">
            <w:pPr>
              <w:pStyle w:val="a7"/>
              <w:spacing w:after="283"/>
            </w:pPr>
            <w:r>
              <w:t> </w:t>
            </w:r>
          </w:p>
        </w:tc>
        <w:tc>
          <w:tcPr>
            <w:tcW w:w="4920" w:type="dxa"/>
            <w:shd w:val="clear" w:color="auto" w:fill="auto"/>
          </w:tcPr>
          <w:p w:rsidR="009202ED" w:rsidRDefault="009202ED" w:rsidP="00435C68">
            <w:pPr>
              <w:pStyle w:val="a7"/>
              <w:snapToGrid w:val="0"/>
              <w:spacing w:after="283"/>
              <w:rPr>
                <w:rStyle w:val="a5"/>
              </w:rPr>
            </w:pPr>
            <w:proofErr w:type="spellStart"/>
            <w:r>
              <w:rPr>
                <w:rStyle w:val="a5"/>
              </w:rPr>
              <w:t>Э.М.Нургалеева</w:t>
            </w:r>
            <w:proofErr w:type="spellEnd"/>
          </w:p>
        </w:tc>
      </w:tr>
    </w:tbl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D"/>
    <w:rsid w:val="00556C0D"/>
    <w:rsid w:val="009202ED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202ED"/>
    <w:pPr>
      <w:keepNext/>
      <w:numPr>
        <w:numId w:val="1"/>
      </w:numPr>
      <w:spacing w:before="240" w:after="120"/>
      <w:outlineLvl w:val="0"/>
    </w:pPr>
    <w:rPr>
      <w:rFonts w:eastAsia="Lucida Sans Unicode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2ED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202ED"/>
    <w:rPr>
      <w:color w:val="000080"/>
      <w:u w:val="single"/>
      <w:lang/>
    </w:rPr>
  </w:style>
  <w:style w:type="character" w:styleId="a5">
    <w:name w:val="Strong"/>
    <w:qFormat/>
    <w:rsid w:val="009202ED"/>
    <w:rPr>
      <w:b/>
      <w:bCs/>
    </w:rPr>
  </w:style>
  <w:style w:type="paragraph" w:styleId="a0">
    <w:name w:val="Body Text"/>
    <w:basedOn w:val="a"/>
    <w:link w:val="a6"/>
    <w:rsid w:val="009202ED"/>
    <w:pPr>
      <w:spacing w:after="120"/>
    </w:pPr>
  </w:style>
  <w:style w:type="character" w:customStyle="1" w:styleId="a6">
    <w:name w:val="Основной текст Знак"/>
    <w:basedOn w:val="a1"/>
    <w:link w:val="a0"/>
    <w:rsid w:val="00920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202ED"/>
    <w:pPr>
      <w:suppressLineNumbers/>
    </w:pPr>
  </w:style>
  <w:style w:type="paragraph" w:customStyle="1" w:styleId="ConsPlusTitle">
    <w:name w:val="ConsPlusTitle"/>
    <w:rsid w:val="00920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202ED"/>
    <w:pPr>
      <w:keepNext/>
      <w:numPr>
        <w:numId w:val="1"/>
      </w:numPr>
      <w:spacing w:before="240" w:after="120"/>
      <w:outlineLvl w:val="0"/>
    </w:pPr>
    <w:rPr>
      <w:rFonts w:eastAsia="Lucida Sans Unicode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2ED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202ED"/>
    <w:rPr>
      <w:color w:val="000080"/>
      <w:u w:val="single"/>
      <w:lang/>
    </w:rPr>
  </w:style>
  <w:style w:type="character" w:styleId="a5">
    <w:name w:val="Strong"/>
    <w:qFormat/>
    <w:rsid w:val="009202ED"/>
    <w:rPr>
      <w:b/>
      <w:bCs/>
    </w:rPr>
  </w:style>
  <w:style w:type="paragraph" w:styleId="a0">
    <w:name w:val="Body Text"/>
    <w:basedOn w:val="a"/>
    <w:link w:val="a6"/>
    <w:rsid w:val="009202ED"/>
    <w:pPr>
      <w:spacing w:after="120"/>
    </w:pPr>
  </w:style>
  <w:style w:type="character" w:customStyle="1" w:styleId="a6">
    <w:name w:val="Основной текст Знак"/>
    <w:basedOn w:val="a1"/>
    <w:link w:val="a0"/>
    <w:rsid w:val="00920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202ED"/>
    <w:pPr>
      <w:suppressLineNumbers/>
    </w:pPr>
  </w:style>
  <w:style w:type="paragraph" w:customStyle="1" w:styleId="ConsPlusTitle">
    <w:name w:val="ConsPlusTitle"/>
    <w:rsid w:val="00920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Documents%2520and%2520Settings/Lubov/Application%2520Data/Opera/Opera/profile/cache4/temporary_download/prot_sirkovko_soglasie_gen_plan%2520(1).doc%23sub_2306%23sub_2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1607</Words>
  <Characters>9163</Characters>
  <Application>Microsoft Office Word</Application>
  <DocSecurity>0</DocSecurity>
  <Lines>76</Lines>
  <Paragraphs>21</Paragraphs>
  <ScaleCrop>false</ScaleCrop>
  <Company>1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2013-12-12T11:21:00Z</dcterms:created>
  <dcterms:modified xsi:type="dcterms:W3CDTF">2013-12-12T11:25:00Z</dcterms:modified>
</cp:coreProperties>
</file>