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Default="00AE2BFD" w:rsidP="00B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73C1" w:rsidRPr="0036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61AA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9A73C1" w:rsidRPr="00365C02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E868F0" w:rsidRPr="00365C0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365C0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BFD" w:rsidRPr="00365C02" w:rsidRDefault="00462538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820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2022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61AA">
        <w:rPr>
          <w:rFonts w:ascii="Times New Roman" w:hAnsi="Times New Roman" w:cs="Times New Roman"/>
          <w:sz w:val="28"/>
          <w:szCs w:val="28"/>
        </w:rPr>
        <w:t>1/8</w:t>
      </w:r>
    </w:p>
    <w:p w:rsidR="00AE2BFD" w:rsidRPr="00365C0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4E" w:rsidRPr="00365C0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AE2BFD" w:rsidRPr="00365C02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B861AA">
        <w:rPr>
          <w:rFonts w:ascii="Times New Roman" w:hAnsi="Times New Roman" w:cs="Times New Roman"/>
          <w:bCs/>
          <w:sz w:val="28"/>
          <w:szCs w:val="28"/>
        </w:rPr>
        <w:t xml:space="preserve">Микяшевский 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proofErr w:type="gramStart"/>
      <w:r w:rsidR="009A73C1" w:rsidRPr="00365C0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 района Давлекановский район Республики Башкортостан</w:t>
      </w:r>
    </w:p>
    <w:p w:rsidR="00B5216E" w:rsidRPr="00365C02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8206E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65C02">
        <w:rPr>
          <w:rFonts w:ascii="Times New Roman" w:hAnsi="Times New Roman" w:cs="Times New Roman"/>
          <w:sz w:val="28"/>
          <w:szCs w:val="28"/>
        </w:rPr>
        <w:t>с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65C0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65C02">
        <w:rPr>
          <w:rFonts w:ascii="Times New Roman" w:hAnsi="Times New Roman" w:cs="Times New Roman"/>
          <w:sz w:val="28"/>
          <w:szCs w:val="28"/>
        </w:rPr>
        <w:t>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от 27 июля 2010 года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65C02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2613A" w:rsidRPr="00365C02">
        <w:rPr>
          <w:rFonts w:ascii="Times New Roman" w:hAnsi="Times New Roman" w:cs="Times New Roman"/>
          <w:sz w:val="28"/>
          <w:szCs w:val="28"/>
        </w:rPr>
        <w:t>–</w:t>
      </w:r>
      <w:r w:rsidR="002D671C" w:rsidRPr="00365C0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D671C" w:rsidRPr="00365C02">
        <w:rPr>
          <w:rFonts w:ascii="Times New Roman" w:hAnsi="Times New Roman" w:cs="Times New Roman"/>
          <w:sz w:val="28"/>
          <w:szCs w:val="28"/>
        </w:rPr>
        <w:t>едеральный закон № 210-ФЗ)</w:t>
      </w:r>
      <w:r w:rsidR="00FB0855" w:rsidRPr="00365C0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365C02">
        <w:rPr>
          <w:rFonts w:ascii="Times New Roman" w:hAnsi="Times New Roman" w:cs="Times New Roman"/>
          <w:sz w:val="28"/>
          <w:szCs w:val="28"/>
        </w:rPr>
        <w:t>2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365C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09C4" w:rsidRPr="00365C02" w:rsidRDefault="002309C4" w:rsidP="003820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C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5794E" w:rsidRPr="00365C0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1.</w:t>
      </w:r>
      <w:r w:rsidR="00B647CB" w:rsidRPr="00365C0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65C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65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D645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B861AA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Башкортостан. </w:t>
      </w:r>
    </w:p>
    <w:p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B861AA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Pr="00365C02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от 2</w:t>
      </w:r>
      <w:r w:rsidR="00B861AA">
        <w:rPr>
          <w:rFonts w:ascii="Times New Roman" w:hAnsi="Times New Roman" w:cs="Times New Roman"/>
          <w:sz w:val="28"/>
          <w:szCs w:val="28"/>
        </w:rPr>
        <w:t>9.12.2018 г. № 44/4</w:t>
      </w:r>
      <w:bookmarkStart w:id="0" w:name="_GoBack"/>
      <w:bookmarkEnd w:id="0"/>
      <w:r w:rsidRPr="00365C0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B861AA">
        <w:rPr>
          <w:rFonts w:ascii="Times New Roman" w:hAnsi="Times New Roman" w:cs="Times New Roman"/>
          <w:sz w:val="28"/>
          <w:szCs w:val="28"/>
        </w:rPr>
        <w:t>Микяшевский</w:t>
      </w:r>
      <w:r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</w:t>
      </w:r>
      <w:r w:rsidR="00035143">
        <w:rPr>
          <w:rFonts w:ascii="Times New Roman" w:hAnsi="Times New Roman" w:cs="Times New Roman"/>
          <w:sz w:val="28"/>
          <w:szCs w:val="28"/>
        </w:rPr>
        <w:t>щихся в частной</w:t>
      </w:r>
      <w:proofErr w:type="gramEnd"/>
      <w:r w:rsidR="00035143">
        <w:rPr>
          <w:rFonts w:ascii="Times New Roman" w:hAnsi="Times New Roman" w:cs="Times New Roman"/>
          <w:sz w:val="28"/>
          <w:szCs w:val="28"/>
        </w:rPr>
        <w:t xml:space="preserve"> собственности».</w:t>
      </w:r>
    </w:p>
    <w:p w:rsidR="001066DD" w:rsidRPr="00365C0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AE447C" w:rsidRPr="00365C02" w:rsidRDefault="001066DD" w:rsidP="00B8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B861AA" w:rsidRDefault="00B861AA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6E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8206E" w:rsidRDefault="00B861AA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1066DD" w:rsidRPr="00365C02">
        <w:rPr>
          <w:rFonts w:ascii="Times New Roman" w:hAnsi="Times New Roman" w:cs="Times New Roman"/>
          <w:sz w:val="28"/>
          <w:szCs w:val="28"/>
        </w:rPr>
        <w:t>сельсовет</w:t>
      </w:r>
    </w:p>
    <w:p w:rsidR="0038206E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8206E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Давлекановский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район</w:t>
      </w:r>
    </w:p>
    <w:p w:rsidR="00EE117C" w:rsidRPr="0038206E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</w:t>
      </w:r>
      <w:proofErr w:type="spellStart"/>
      <w:r w:rsidR="00B861AA">
        <w:rPr>
          <w:rFonts w:ascii="Times New Roman" w:hAnsi="Times New Roman" w:cs="Times New Roman"/>
          <w:sz w:val="28"/>
          <w:szCs w:val="28"/>
        </w:rPr>
        <w:t>А.Р.Гайзуллин</w:t>
      </w:r>
      <w:proofErr w:type="spellEnd"/>
    </w:p>
    <w:p w:rsidR="001066DD" w:rsidRDefault="001066DD" w:rsidP="00B861A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1066DD" w:rsidRDefault="0038206E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8206E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06E" w:rsidRDefault="00B861AA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1066DD" w:rsidRPr="001066DD">
        <w:rPr>
          <w:rFonts w:ascii="Times New Roman" w:hAnsi="Times New Roman" w:cs="Times New Roman"/>
          <w:sz w:val="24"/>
          <w:szCs w:val="24"/>
        </w:rPr>
        <w:t>сельсовет муниципального</w:t>
      </w:r>
    </w:p>
    <w:p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868F0">
        <w:rPr>
          <w:rFonts w:ascii="Times New Roman" w:hAnsi="Times New Roman" w:cs="Times New Roman"/>
          <w:sz w:val="24"/>
          <w:szCs w:val="24"/>
        </w:rPr>
        <w:t>0</w:t>
      </w:r>
      <w:r w:rsidR="0038206E">
        <w:rPr>
          <w:rFonts w:ascii="Times New Roman" w:hAnsi="Times New Roman" w:cs="Times New Roman"/>
          <w:sz w:val="24"/>
          <w:szCs w:val="24"/>
        </w:rPr>
        <w:t>3</w:t>
      </w:r>
      <w:r w:rsidR="00E868F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206E">
        <w:rPr>
          <w:rFonts w:ascii="Times New Roman" w:hAnsi="Times New Roman" w:cs="Times New Roman"/>
          <w:sz w:val="24"/>
          <w:szCs w:val="24"/>
        </w:rPr>
        <w:t xml:space="preserve"> </w:t>
      </w:r>
      <w:r w:rsidR="00B861AA">
        <w:rPr>
          <w:rFonts w:ascii="Times New Roman" w:hAnsi="Times New Roman" w:cs="Times New Roman"/>
          <w:sz w:val="24"/>
          <w:szCs w:val="24"/>
        </w:rPr>
        <w:t>1/8</w:t>
      </w:r>
    </w:p>
    <w:p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38206E" w:rsidRDefault="00AE2BFD" w:rsidP="00382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B861AA">
        <w:rPr>
          <w:rFonts w:ascii="Times New Roman" w:hAnsi="Times New Roman" w:cs="Times New Roman"/>
          <w:b/>
          <w:bCs/>
          <w:sz w:val="28"/>
          <w:szCs w:val="28"/>
        </w:rPr>
        <w:t xml:space="preserve">Микяшевский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proofErr w:type="gramStart"/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861AA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="001066D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066DD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B861AA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1066DD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</w:t>
      </w:r>
      <w:proofErr w:type="gramStart"/>
      <w:r w:rsidR="001066DD">
        <w:rPr>
          <w:rFonts w:ascii="Times New Roman" w:hAnsi="Times New Roman" w:cs="Times New Roman"/>
          <w:sz w:val="28"/>
          <w:szCs w:val="28"/>
        </w:rPr>
        <w:t>н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proofErr w:type="gramStart"/>
      <w:r w:rsidR="00B60B87" w:rsidRPr="00463DF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B60B87" w:rsidRPr="00463DF9">
        <w:rPr>
          <w:rFonts w:ascii="Times New Roman" w:hAnsi="Times New Roman" w:cs="Times New Roman"/>
          <w:sz w:val="24"/>
          <w:szCs w:val="24"/>
        </w:rPr>
        <w:t>://sovet-davlekanovo.ru/rural/polyakovskiy/iblock.php?SECTION_ID=120;</w:t>
      </w:r>
    </w:p>
    <w:p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351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="00382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(далее – официальный сайт);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proofErr w:type="gramStart"/>
      <w:r w:rsidRPr="00EA7593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861AA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B60B87" w:rsidRPr="00B60B87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D76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</w:t>
      </w:r>
      <w:r w:rsidRPr="004D09E8">
        <w:rPr>
          <w:rFonts w:ascii="Times New Roman" w:eastAsia="Calibri" w:hAnsi="Times New Roman" w:cs="Times New Roman"/>
          <w:sz w:val="28"/>
        </w:rPr>
        <w:lastRenderedPageBreak/>
        <w:t xml:space="preserve">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</w:t>
      </w:r>
      <w:proofErr w:type="gramStart"/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</w:t>
      </w:r>
      <w:proofErr w:type="gramStart"/>
      <w:r w:rsidRPr="001913C6">
        <w:rPr>
          <w:rFonts w:ascii="Times New Roman" w:eastAsia="Calibri" w:hAnsi="Times New Roman" w:cs="Times New Roman"/>
          <w:sz w:val="28"/>
        </w:rPr>
        <w:t>У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при почтовом отправлении  день фактического поступления заявления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proofErr w:type="gramStart"/>
      <w:r w:rsidRPr="00205E32">
        <w:rPr>
          <w:rFonts w:ascii="Times New Roman" w:eastAsia="Calibri" w:hAnsi="Times New Roman" w:cs="Times New Roman"/>
          <w:sz w:val="28"/>
        </w:rPr>
        <w:t>–</w:t>
      </w:r>
      <w:r w:rsidR="001913C6" w:rsidRPr="001913C6">
        <w:rPr>
          <w:rFonts w:ascii="Times New Roman" w:eastAsia="Calibri" w:hAnsi="Times New Roman" w:cs="Times New Roman"/>
          <w:sz w:val="28"/>
        </w:rPr>
        <w:t>д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ED6157" w:rsidRPr="005B5BB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, РГАУ МФЦ, посредством почтового </w:t>
      </w:r>
      <w:r w:rsidRPr="006B1E07">
        <w:rPr>
          <w:rFonts w:ascii="Times New Roman" w:eastAsia="Calibri" w:hAnsi="Times New Roman" w:cs="Times New Roman"/>
          <w:sz w:val="28"/>
          <w:szCs w:val="28"/>
        </w:rPr>
        <w:lastRenderedPageBreak/>
        <w:t>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</w:t>
      </w:r>
      <w:proofErr w:type="spell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формена</w:t>
      </w:r>
      <w:proofErr w:type="spellEnd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DD2EB8">
        <w:rPr>
          <w:rFonts w:ascii="Times New Roman" w:eastAsia="Calibri" w:hAnsi="Times New Roman" w:cs="Times New Roman"/>
          <w:sz w:val="28"/>
          <w:szCs w:val="28"/>
        </w:rPr>
        <w:t xml:space="preserve"> использованием </w:t>
      </w:r>
      <w:proofErr w:type="spellStart"/>
      <w:r w:rsidR="00DD2EB8">
        <w:rPr>
          <w:rFonts w:ascii="Times New Roman" w:eastAsia="Calibri" w:hAnsi="Times New Roman" w:cs="Times New Roman"/>
          <w:sz w:val="28"/>
          <w:szCs w:val="28"/>
        </w:rPr>
        <w:t>РПГУ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</w:t>
      </w:r>
      <w:r w:rsidR="007774F3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</w:t>
      </w:r>
      <w:proofErr w:type="spellStart"/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припервоначальном</w:t>
      </w:r>
      <w:proofErr w:type="spellEnd"/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редоставления на бумажном носителе </w:t>
      </w:r>
      <w:proofErr w:type="spellStart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документови</w:t>
      </w:r>
      <w:proofErr w:type="spell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информации, электронные образы которых ранее были </w:t>
      </w:r>
      <w:proofErr w:type="spellStart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завереныв</w:t>
      </w:r>
      <w:proofErr w:type="spell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245080" w:rsidRPr="00EA7593">
        <w:rPr>
          <w:rFonts w:ascii="Times New Roman" w:eastAsia="Calibri" w:hAnsi="Times New Roman" w:cs="Times New Roman"/>
          <w:sz w:val="28"/>
          <w:szCs w:val="28"/>
        </w:rPr>
        <w:t>такжев</w:t>
      </w:r>
      <w:proofErr w:type="spellEnd"/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lastRenderedPageBreak/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</w:t>
      </w:r>
      <w:r w:rsidR="004C71B5" w:rsidRPr="004C71B5">
        <w:rPr>
          <w:rFonts w:ascii="Times New Roman" w:hAnsi="Times New Roman" w:cs="Times New Roman"/>
          <w:sz w:val="28"/>
          <w:szCs w:val="28"/>
        </w:rPr>
        <w:lastRenderedPageBreak/>
        <w:t>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отношении которой утвержден проект межевания территории.</w:t>
      </w:r>
    </w:p>
    <w:p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71B5">
        <w:rPr>
          <w:rFonts w:ascii="Times New Roman" w:hAnsi="Times New Roman" w:cs="Times New Roman"/>
          <w:sz w:val="28"/>
          <w:szCs w:val="28"/>
        </w:rPr>
        <w:t>непредусмотрены</w:t>
      </w:r>
      <w:proofErr w:type="spellEnd"/>
      <w:r w:rsidR="004C71B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A6590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нерабочий или праздничный день, подлежат регистрации в следующий за ним первый рабочий день.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59" w:rsidRPr="00EA7593">
        <w:rPr>
          <w:rFonts w:ascii="Times New Roman" w:hAnsi="Times New Roman" w:cs="Times New Roman"/>
          <w:sz w:val="28"/>
          <w:szCs w:val="28"/>
        </w:rPr>
        <w:t>ответственного</w:t>
      </w:r>
      <w:r w:rsidRPr="00EA75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прием документов, должно быть оборудовано персональным компьютером с возможностью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доступак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3820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FF17DC" w:rsidRDefault="006555E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2132F5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РГАУ МФЦ, а также с доступными для записи на прием датами и интервалами времени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lastRenderedPageBreak/>
        <w:t>д) регистрацию заявления на предоставление муниципальной услуги;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инициативев</w:t>
      </w:r>
      <w:proofErr w:type="spellEnd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38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3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DB7DEA" w:rsidRPr="00DB7DEA" w:rsidRDefault="006555E9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8206E"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DB7DEA" w:rsidRPr="00DB7DEA" w:rsidRDefault="006555E9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но снятых ксерокопий </w:t>
      </w:r>
      <w:r w:rsidR="008A6AC2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proofErr w:type="spellStart"/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B861AA"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Pr="007103C8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7103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103C8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0DE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Pr="00A2114C">
        <w:rPr>
          <w:rFonts w:ascii="Times New Roman" w:eastAsia="Times New Roman" w:hAnsi="Times New Roman" w:cs="Times New Roman"/>
          <w:lang w:eastAsia="ru-RU"/>
        </w:rPr>
        <w:lastRenderedPageBreak/>
        <w:t xml:space="preserve">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B861AA">
        <w:rPr>
          <w:rFonts w:ascii="Times New Roman" w:hAnsi="Times New Roman" w:cs="Times New Roman"/>
          <w:sz w:val="24"/>
          <w:szCs w:val="24"/>
        </w:rPr>
        <w:t>Микяшевский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861AA">
        <w:rPr>
          <w:rFonts w:ascii="Times New Roman" w:hAnsi="Times New Roman" w:cs="Times New Roman"/>
          <w:sz w:val="24"/>
          <w:szCs w:val="24"/>
        </w:rPr>
        <w:t>Микяшевский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предоставления муниципальной услуги (возврате заявления заявителю), а именно:___________________________________________________________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B861AA">
        <w:rPr>
          <w:rFonts w:ascii="Times New Roman" w:hAnsi="Times New Roman" w:cs="Times New Roman"/>
          <w:sz w:val="24"/>
          <w:szCs w:val="24"/>
        </w:rPr>
        <w:t>Микяшевский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(наименование должности              (подпись руководителя юридического лица  (фамилия, инициалы руководителя</w:t>
      </w:r>
      <w:proofErr w:type="gramEnd"/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B861AA">
          <w:headerReference w:type="default" r:id="rId12"/>
          <w:pgSz w:w="11906" w:h="16838"/>
          <w:pgMar w:top="426" w:right="680" w:bottom="142" w:left="1701" w:header="709" w:footer="709" w:gutter="0"/>
          <w:cols w:space="708"/>
          <w:titlePg/>
          <w:docGrid w:linePitch="360"/>
        </w:sectPr>
      </w:pPr>
    </w:p>
    <w:p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861AA">
        <w:rPr>
          <w:rFonts w:ascii="Times New Roman" w:hAnsi="Times New Roman" w:cs="Times New Roman"/>
          <w:sz w:val="24"/>
          <w:szCs w:val="24"/>
        </w:rPr>
        <w:t>Микяшевский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proofErr w:type="spellStart"/>
      <w:r w:rsidRPr="00040426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proofErr w:type="gram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</w:t>
      </w:r>
      <w:proofErr w:type="gram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аключение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соглашения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о перераспределении </w:t>
      </w:r>
      <w:proofErr w:type="spell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земельи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(или) земельных участков, </w:t>
      </w:r>
      <w:proofErr w:type="spell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находящихсяв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:rsidTr="00E65974">
        <w:trPr>
          <w:trHeight w:val="1415"/>
        </w:trPr>
        <w:tc>
          <w:tcPr>
            <w:tcW w:w="2699" w:type="dxa"/>
          </w:tcPr>
          <w:p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  <w:proofErr w:type="spellEnd"/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268" w:type="dxa"/>
          </w:tcPr>
          <w:p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выполненияадминистративныхдействий</w:t>
            </w:r>
            <w:proofErr w:type="spellEnd"/>
          </w:p>
        </w:tc>
        <w:tc>
          <w:tcPr>
            <w:tcW w:w="2551" w:type="dxa"/>
          </w:tcPr>
          <w:p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тветственное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завыполнение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принятиярешения</w:t>
            </w:r>
            <w:proofErr w:type="spellEnd"/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заявленияи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</w:t>
            </w:r>
            <w:proofErr w:type="spellEnd"/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</w:p>
          <w:p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регламента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аключен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соглашенияо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перераспределении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земельи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(или) земельных участков,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находящихсяв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регламенту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езамедлительно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>
              <w:trPr>
                <w:trHeight w:val="2738"/>
              </w:trPr>
              <w:tc>
                <w:tcPr>
                  <w:tcW w:w="2949" w:type="dxa"/>
                </w:tcPr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течение 30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календарныхдней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обутверждении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взаключении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1566"/>
        </w:trPr>
        <w:tc>
          <w:tcPr>
            <w:tcW w:w="2712" w:type="dxa"/>
            <w:gridSpan w:val="2"/>
          </w:tcPr>
          <w:p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устной</w:t>
            </w:r>
            <w:proofErr w:type="gram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исьменной</w:t>
            </w:r>
            <w:proofErr w:type="spell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уведомление)</w:t>
            </w:r>
          </w:p>
        </w:tc>
        <w:tc>
          <w:tcPr>
            <w:tcW w:w="2693" w:type="dxa"/>
          </w:tcPr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проектемежевания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20"/>
        </w:trPr>
        <w:tc>
          <w:tcPr>
            <w:tcW w:w="2712" w:type="dxa"/>
            <w:gridSpan w:val="2"/>
          </w:tcPr>
          <w:p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заявления и 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документовнепосредственно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подачи заявления и документов непосредственно в РГАУ МФЦ);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выбору заявителя):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E9" w:rsidRDefault="006555E9">
      <w:pPr>
        <w:spacing w:after="0" w:line="240" w:lineRule="auto"/>
      </w:pPr>
      <w:r>
        <w:separator/>
      </w:r>
    </w:p>
  </w:endnote>
  <w:endnote w:type="continuationSeparator" w:id="0">
    <w:p w:rsidR="006555E9" w:rsidRDefault="0065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E9" w:rsidRDefault="006555E9">
      <w:pPr>
        <w:spacing w:after="0" w:line="240" w:lineRule="auto"/>
      </w:pPr>
      <w:r>
        <w:separator/>
      </w:r>
    </w:p>
  </w:footnote>
  <w:footnote w:type="continuationSeparator" w:id="0">
    <w:p w:rsidR="006555E9" w:rsidRDefault="0065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06E" w:rsidRPr="00515076" w:rsidRDefault="003820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1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06E" w:rsidRDefault="003820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143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1E89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1247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206E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38A1"/>
    <w:rsid w:val="0064613A"/>
    <w:rsid w:val="0065031B"/>
    <w:rsid w:val="00650669"/>
    <w:rsid w:val="00651EAF"/>
    <w:rsid w:val="00653226"/>
    <w:rsid w:val="00653ABF"/>
    <w:rsid w:val="006555E9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589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114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861AA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20E7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45CC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0FA2-1580-42BD-88B2-FD6B157B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18426</Words>
  <Characters>105029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Микяш</cp:lastModifiedBy>
  <cp:revision>3</cp:revision>
  <cp:lastPrinted>2022-04-04T06:23:00Z</cp:lastPrinted>
  <dcterms:created xsi:type="dcterms:W3CDTF">2022-04-04T06:26:00Z</dcterms:created>
  <dcterms:modified xsi:type="dcterms:W3CDTF">2022-04-04T06:27:00Z</dcterms:modified>
</cp:coreProperties>
</file>