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A1" w:rsidRDefault="006C23A1" w:rsidP="006C23A1">
      <w:pPr>
        <w:spacing w:after="0" w:line="240" w:lineRule="auto"/>
        <w:jc w:val="right"/>
        <w:rPr>
          <w:b/>
        </w:rPr>
      </w:pPr>
      <w:r>
        <w:rPr>
          <w:b/>
        </w:rPr>
        <w:t>ПРОЕКТ</w:t>
      </w:r>
    </w:p>
    <w:p w:rsidR="006A2D3C" w:rsidRPr="00CC2196" w:rsidRDefault="006A2D3C" w:rsidP="006C23A1">
      <w:pPr>
        <w:spacing w:after="0" w:line="240" w:lineRule="auto"/>
        <w:jc w:val="center"/>
        <w:rPr>
          <w:b/>
          <w:sz w:val="20"/>
        </w:rPr>
      </w:pPr>
      <w:r w:rsidRPr="00CC2196">
        <w:rPr>
          <w:b/>
        </w:rPr>
        <w:t xml:space="preserve">Администрация </w:t>
      </w:r>
      <w:r w:rsidR="006C23A1">
        <w:rPr>
          <w:b/>
        </w:rPr>
        <w:t>сельского поселения Поляковский сельсовет муниципального района Давлекановский район Республики Башкортостан</w:t>
      </w:r>
    </w:p>
    <w:p w:rsidR="006A2D3C" w:rsidRPr="00CC2196" w:rsidRDefault="006A2D3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Pr="00CC2196" w:rsidRDefault="006A2D3C" w:rsidP="006A2D3C">
      <w:pPr>
        <w:widowControl w:val="0"/>
        <w:autoSpaceDE w:val="0"/>
        <w:autoSpaceDN w:val="0"/>
        <w:adjustRightInd w:val="0"/>
        <w:spacing w:after="0" w:line="240" w:lineRule="auto"/>
        <w:jc w:val="center"/>
        <w:rPr>
          <w:b/>
        </w:rPr>
      </w:pPr>
    </w:p>
    <w:p w:rsidR="006A2D3C" w:rsidRDefault="006A2D3C" w:rsidP="006A2D3C">
      <w:pPr>
        <w:widowControl w:val="0"/>
        <w:autoSpaceDE w:val="0"/>
        <w:autoSpaceDN w:val="0"/>
        <w:adjustRightInd w:val="0"/>
        <w:spacing w:after="0" w:line="240" w:lineRule="auto"/>
        <w:jc w:val="center"/>
        <w:rPr>
          <w:b/>
          <w:bCs/>
        </w:rPr>
      </w:pPr>
      <w:r w:rsidRPr="00CC2196">
        <w:rPr>
          <w:b/>
        </w:rPr>
        <w:t xml:space="preserve">Об утверждении Административного регламента предоставления муниципальной </w:t>
      </w:r>
      <w:r w:rsidRPr="00D40B95">
        <w:rPr>
          <w:b/>
        </w:rPr>
        <w:t xml:space="preserve">услуги </w:t>
      </w:r>
      <w:r w:rsidRPr="00402283">
        <w:rPr>
          <w:rFonts w:eastAsiaTheme="minorEastAsia"/>
          <w:b/>
          <w:bCs/>
        </w:rPr>
        <w:t>«</w:t>
      </w:r>
      <w:r w:rsidR="00AE2AB1">
        <w:rPr>
          <w:b/>
          <w:bCs/>
        </w:rPr>
        <w:t>Перевод земель или земельных участков из одной категории в другую</w:t>
      </w:r>
      <w:r w:rsidRPr="00402283">
        <w:rPr>
          <w:rFonts w:eastAsiaTheme="minorEastAsia"/>
          <w:b/>
          <w:bCs/>
        </w:rPr>
        <w:t>»</w:t>
      </w:r>
    </w:p>
    <w:p w:rsidR="006A2D3C" w:rsidRPr="00CC2196" w:rsidRDefault="006C23A1" w:rsidP="006A2D3C">
      <w:pPr>
        <w:widowControl w:val="0"/>
        <w:autoSpaceDE w:val="0"/>
        <w:autoSpaceDN w:val="0"/>
        <w:adjustRightInd w:val="0"/>
        <w:spacing w:after="0" w:line="240" w:lineRule="auto"/>
        <w:jc w:val="center"/>
        <w:rPr>
          <w:b/>
          <w:bCs/>
          <w:sz w:val="20"/>
          <w:szCs w:val="20"/>
        </w:rPr>
      </w:pPr>
      <w:r>
        <w:rPr>
          <w:b/>
          <w:bCs/>
        </w:rPr>
        <w:t>в сельском поселении Поляковский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C23A1" w:rsidRDefault="006A2D3C" w:rsidP="006C23A1">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p>
    <w:p w:rsidR="006A2D3C" w:rsidRPr="00CC2196" w:rsidRDefault="006C23A1" w:rsidP="006C23A1">
      <w:pPr>
        <w:tabs>
          <w:tab w:val="left" w:pos="2835"/>
        </w:tabs>
        <w:autoSpaceDE w:val="0"/>
        <w:autoSpaceDN w:val="0"/>
        <w:adjustRightInd w:val="0"/>
        <w:spacing w:after="0" w:line="240" w:lineRule="auto"/>
        <w:jc w:val="both"/>
        <w:rPr>
          <w:sz w:val="16"/>
        </w:rPr>
      </w:pPr>
      <w:r>
        <w:t>п о с т а н о в л я ю:</w:t>
      </w:r>
      <w:r w:rsidR="006A2D3C">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Поляковский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Контроль за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866A80" w:rsidRDefault="006A2D3C" w:rsidP="00866A80">
      <w:pPr>
        <w:spacing w:after="0" w:line="240" w:lineRule="auto"/>
        <w:ind w:firstLine="567"/>
        <w:jc w:val="right"/>
      </w:pPr>
      <w:r w:rsidRPr="00CC2196">
        <w:t xml:space="preserve">Глава </w:t>
      </w:r>
      <w:r w:rsidR="00866A80">
        <w:t xml:space="preserve">сельского поселения </w:t>
      </w:r>
    </w:p>
    <w:p w:rsidR="006A2D3C" w:rsidRDefault="00866A80" w:rsidP="00866A80">
      <w:pPr>
        <w:spacing w:after="0" w:line="240" w:lineRule="auto"/>
        <w:ind w:firstLine="567"/>
        <w:jc w:val="right"/>
      </w:pPr>
      <w:r>
        <w:t>Е.Е. Гладышев</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r w:rsidR="006A2D3C" w:rsidRPr="00866A80">
        <w:rPr>
          <w:sz w:val="24"/>
          <w:szCs w:val="24"/>
        </w:rPr>
        <w:lastRenderedPageBreak/>
        <w:t>Утвержден</w:t>
      </w:r>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сельского поселения Поляковский сельсовет муниципального района Давлекановский район Республики Башкортостан</w:t>
      </w:r>
    </w:p>
    <w:p w:rsidR="006A2D3C" w:rsidRPr="00866A80" w:rsidRDefault="006A2D3C" w:rsidP="006A2D3C">
      <w:pPr>
        <w:widowControl w:val="0"/>
        <w:autoSpaceDE w:val="0"/>
        <w:autoSpaceDN w:val="0"/>
        <w:adjustRightInd w:val="0"/>
        <w:spacing w:after="0" w:line="240" w:lineRule="auto"/>
        <w:ind w:firstLine="851"/>
        <w:jc w:val="right"/>
        <w:rPr>
          <w:sz w:val="24"/>
          <w:szCs w:val="24"/>
        </w:rPr>
      </w:pPr>
      <w:r w:rsidRPr="00866A80">
        <w:rPr>
          <w:sz w:val="24"/>
          <w:szCs w:val="24"/>
        </w:rPr>
        <w:t>от ____________20___ года №____</w:t>
      </w:r>
    </w:p>
    <w:p w:rsidR="006A2D3C" w:rsidRPr="00866A80" w:rsidRDefault="006A2D3C" w:rsidP="006A2D3C">
      <w:pPr>
        <w:widowControl w:val="0"/>
        <w:spacing w:after="0" w:line="240" w:lineRule="auto"/>
        <w:ind w:firstLine="567"/>
        <w:contextualSpacing/>
        <w:jc w:val="center"/>
        <w:rPr>
          <w:color w:val="000000"/>
          <w:sz w:val="24"/>
          <w:szCs w:val="24"/>
        </w:rPr>
      </w:pPr>
    </w:p>
    <w:p w:rsidR="006A2D3C" w:rsidRPr="00CC2196" w:rsidRDefault="006A2D3C" w:rsidP="00866A80">
      <w:pPr>
        <w:widowControl w:val="0"/>
        <w:autoSpaceDE w:val="0"/>
        <w:autoSpaceDN w:val="0"/>
        <w:adjustRightInd w:val="0"/>
        <w:spacing w:after="0" w:line="240" w:lineRule="auto"/>
        <w:jc w:val="center"/>
        <w:rPr>
          <w:b/>
          <w:bCs/>
          <w:sz w:val="20"/>
          <w:szCs w:val="20"/>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866A80">
        <w:rPr>
          <w:b/>
          <w:bCs/>
        </w:rPr>
        <w:t>сельском поселении Поляковский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866A80">
        <w:t>сельском поселении Поляковский сельсовет муниципального района Давлекановский район Республики Башкортостан</w:t>
      </w:r>
      <w:r>
        <w:t xml:space="preserve"> (далее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866A80">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866A80">
        <w:rPr>
          <w:rFonts w:eastAsia="Calibri"/>
        </w:rPr>
        <w:t>сельского поселения Поляковский сельсовет муниципального района Давлеканвский район Республики Башкортостан</w:t>
      </w:r>
      <w:r>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2A26C1" w:rsidRDefault="00721B8E" w:rsidP="00721B8E">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инистрации</w:t>
      </w:r>
      <w:r w:rsidR="00866A80">
        <w:t xml:space="preserve"> </w:t>
      </w:r>
      <w:r w:rsidR="00EA171D">
        <w:t xml:space="preserve"> </w:t>
      </w:r>
      <w:r w:rsidR="00EA171D" w:rsidRPr="00EA171D">
        <w:t>http://sovet-davlekanovo.ru/rural/polyakovskiy/</w:t>
      </w:r>
      <w:r w:rsidR="002A26C1" w:rsidRPr="00B03ABC">
        <w:t>;</w:t>
      </w:r>
    </w:p>
    <w:p w:rsidR="00721B8E" w:rsidRPr="00B03ABC" w:rsidRDefault="00721B8E" w:rsidP="00866A80">
      <w:pPr>
        <w:widowControl w:val="0"/>
        <w:tabs>
          <w:tab w:val="left" w:pos="851"/>
          <w:tab w:val="left" w:pos="1134"/>
        </w:tabs>
        <w:spacing w:after="0" w:line="240" w:lineRule="auto"/>
        <w:ind w:right="-285"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lastRenderedPageBreak/>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официальном сайте Администрации в информационно-телекоммуникационной сети Интернет www.</w:t>
      </w:r>
      <w:r w:rsidR="00EA171D">
        <w:t xml:space="preserve"> </w:t>
      </w:r>
      <w:r w:rsidR="00EA171D" w:rsidRPr="00EA171D">
        <w:t>http://sovet-davlekanovo.ru/rural/polyakovskiy/</w:t>
      </w:r>
      <w:r w:rsidR="00EA171D">
        <w:t xml:space="preserve"> </w:t>
      </w:r>
      <w:r w:rsidRPr="00821BE9">
        <w:t>.ru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EA171D">
        <w:t>сельского поселения Поляковский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lastRenderedPageBreak/>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lastRenderedPageBreak/>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поданное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lastRenderedPageBreak/>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8"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lastRenderedPageBreak/>
        <w:t xml:space="preserve">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lastRenderedPageBreak/>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lastRenderedPageBreak/>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w:t>
      </w:r>
      <w:r w:rsidRPr="007A4334">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допуск сурдопереводчика и тифлосурдопереводчика;</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lastRenderedPageBreak/>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lastRenderedPageBreak/>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 xml:space="preserve">6) реквизиты документа(-ов),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lastRenderedPageBreak/>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866A80" w:rsidP="00C35065">
      <w:pPr>
        <w:spacing w:after="0" w:line="240" w:lineRule="auto"/>
        <w:ind w:firstLine="709"/>
        <w:jc w:val="both"/>
      </w:pPr>
      <w:hyperlink r:id="rId9"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lastRenderedPageBreak/>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F2615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lastRenderedPageBreak/>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lastRenderedPageBreak/>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F26153">
        <w:lastRenderedPageBreak/>
        <w:t>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lastRenderedPageBreak/>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0"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866A80" w:rsidP="00FC2355">
      <w:pPr>
        <w:spacing w:after="0" w:line="259" w:lineRule="auto"/>
        <w:ind w:firstLine="709"/>
        <w:jc w:val="both"/>
      </w:pPr>
      <w:hyperlink r:id="rId11"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lastRenderedPageBreak/>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 xml:space="preserve">аявителей по интересующим их вопросам в вежливой корректной форме с </w:t>
      </w:r>
      <w:r w:rsidRPr="00F26153">
        <w:lastRenderedPageBreak/>
        <w:t>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аявителю предлагается получить мультиталон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представления документов и информации, в том числе подтверждающих </w:t>
      </w:r>
      <w:r w:rsidRPr="00F26153">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Правообладатель(ли)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34787B">
        <w:rPr>
          <w:rFonts w:ascii="Times New Roman" w:hAnsi="Times New Roman" w:cs="Times New Roman"/>
          <w:sz w:val="28"/>
          <w:szCs w:val="28"/>
        </w:rPr>
        <w:t>:</w:t>
      </w:r>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 ________________________,</w:t>
      </w:r>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09"/>
        <w:gridCol w:w="351"/>
        <w:gridCol w:w="2866"/>
        <w:gridCol w:w="3034"/>
        <w:gridCol w:w="57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документа(-ов):</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EA171D" w:rsidRDefault="00EA171D"/>
    <w:p w:rsidR="00884134" w:rsidRPr="00EA171D" w:rsidRDefault="00884134" w:rsidP="00884134">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lastRenderedPageBreak/>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bookmarkStart w:id="13" w:name="_GoBack"/>
      <w:bookmarkEnd w:id="13"/>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перечнями документов, предусмотренных </w:t>
            </w:r>
            <w:r>
              <w:rPr>
                <w:rFonts w:ascii="Times New Roman" w:hAnsi="Times New Roman" w:cs="Times New Roman"/>
                <w:sz w:val="24"/>
                <w:szCs w:val="24"/>
              </w:rPr>
              <w:lastRenderedPageBreak/>
              <w:t>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w:t>
            </w:r>
            <w:r>
              <w:rPr>
                <w:rFonts w:ascii="Times New Roman" w:eastAsia="Calibri" w:hAnsi="Times New Roman" w:cs="Times New Roman"/>
                <w:sz w:val="24"/>
                <w:szCs w:val="24"/>
              </w:rPr>
              <w:lastRenderedPageBreak/>
              <w:t>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w:t>
            </w:r>
            <w:r>
              <w:rPr>
                <w:rFonts w:ascii="Times New Roman" w:eastAsia="Calibri" w:hAnsi="Times New Roman" w:cs="Times New Roman"/>
                <w:sz w:val="24"/>
                <w:szCs w:val="24"/>
              </w:rPr>
              <w:lastRenderedPageBreak/>
              <w:t>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 xml:space="preserve">Администрации, </w:t>
            </w:r>
            <w:r w:rsidR="007871E1">
              <w:rPr>
                <w:rFonts w:ascii="Times New Roman" w:eastAsia="Calibri" w:hAnsi="Times New Roman" w:cs="Times New Roman"/>
                <w:sz w:val="24"/>
                <w:szCs w:val="24"/>
              </w:rPr>
              <w:lastRenderedPageBreak/>
              <w:t>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w:t>
            </w:r>
            <w:r>
              <w:rPr>
                <w:rFonts w:ascii="Times New Roman" w:eastAsia="Calibri" w:hAnsi="Times New Roman" w:cs="Times New Roman"/>
                <w:sz w:val="24"/>
                <w:szCs w:val="24"/>
              </w:rPr>
              <w:lastRenderedPageBreak/>
              <w:t>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 xml:space="preserve">о переводе земель или земельных </w:t>
            </w:r>
            <w:r w:rsidR="00255A57" w:rsidRPr="00255A57">
              <w:rPr>
                <w:rFonts w:ascii="Times New Roman" w:eastAsia="Calibri" w:hAnsi="Times New Roman" w:cs="Times New Roman"/>
                <w:sz w:val="24"/>
                <w:szCs w:val="24"/>
              </w:rPr>
              <w:lastRenderedPageBreak/>
              <w:t>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w:t>
            </w:r>
            <w:r>
              <w:rPr>
                <w:rFonts w:ascii="Times New Roman" w:eastAsia="Calibri" w:hAnsi="Times New Roman" w:cs="Times New Roman"/>
                <w:sz w:val="24"/>
                <w:szCs w:val="24"/>
              </w:rPr>
              <w:lastRenderedPageBreak/>
              <w:t xml:space="preserve">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регистрации исходящей корреспонденции, </w:t>
            </w:r>
            <w:r>
              <w:rPr>
                <w:rFonts w:ascii="Times New Roman" w:eastAsia="Times New Roman" w:hAnsi="Times New Roman" w:cs="Times New Roman"/>
                <w:sz w:val="24"/>
                <w:szCs w:val="24"/>
              </w:rPr>
              <w:lastRenderedPageBreak/>
              <w:t>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w:t>
            </w:r>
            <w:r>
              <w:rPr>
                <w:rFonts w:ascii="Times New Roman" w:hAnsi="Times New Roman" w:cs="Times New Roman"/>
                <w:sz w:val="24"/>
                <w:szCs w:val="24"/>
              </w:rPr>
              <w:lastRenderedPageBreak/>
              <w:t xml:space="preserve">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w:t>
            </w:r>
            <w:r>
              <w:rPr>
                <w:rFonts w:ascii="Times New Roman" w:eastAsia="Calibri" w:hAnsi="Times New Roman" w:cs="Times New Roman"/>
                <w:sz w:val="24"/>
                <w:szCs w:val="24"/>
              </w:rPr>
              <w:lastRenderedPageBreak/>
              <w:t xml:space="preserve">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 xml:space="preserve">Администрации, </w:t>
            </w:r>
            <w:r w:rsidR="007871E1">
              <w:rPr>
                <w:rFonts w:ascii="Times New Roman" w:eastAsia="Calibri" w:hAnsi="Times New Roman" w:cs="Times New Roman"/>
                <w:sz w:val="24"/>
                <w:szCs w:val="24"/>
              </w:rPr>
              <w:lastRenderedPageBreak/>
              <w:t>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w:t>
            </w:r>
            <w:r>
              <w:rPr>
                <w:rFonts w:ascii="Times New Roman" w:eastAsia="Calibri" w:hAnsi="Times New Roman" w:cs="Times New Roman"/>
                <w:sz w:val="24"/>
                <w:szCs w:val="24"/>
              </w:rPr>
              <w:lastRenderedPageBreak/>
              <w:t>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 электронном почтовом ящике Администрации </w:t>
            </w:r>
            <w:r>
              <w:rPr>
                <w:rFonts w:ascii="Times New Roman" w:eastAsia="Calibri" w:hAnsi="Times New Roman" w:cs="Times New Roman"/>
                <w:sz w:val="24"/>
                <w:szCs w:val="24"/>
              </w:rPr>
              <w:lastRenderedPageBreak/>
              <w:t>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39" w:rsidRDefault="00712A39" w:rsidP="007753F7">
      <w:pPr>
        <w:spacing w:after="0" w:line="240" w:lineRule="auto"/>
      </w:pPr>
      <w:r>
        <w:separator/>
      </w:r>
    </w:p>
  </w:endnote>
  <w:endnote w:type="continuationSeparator" w:id="0">
    <w:p w:rsidR="00712A39" w:rsidRDefault="00712A3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39" w:rsidRDefault="00712A39" w:rsidP="007753F7">
      <w:pPr>
        <w:spacing w:after="0" w:line="240" w:lineRule="auto"/>
      </w:pPr>
      <w:r>
        <w:separator/>
      </w:r>
    </w:p>
  </w:footnote>
  <w:footnote w:type="continuationSeparator" w:id="0">
    <w:p w:rsidR="00712A39" w:rsidRDefault="00712A39" w:rsidP="0077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6645"/>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D00B46E280EAEE53C695D2B941A34BC3A547FF490B574250C061CFF345D6DBAF578EFGDS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5EDE-89F2-4299-98A2-26D86D46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15623</Words>
  <Characters>89054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5</cp:revision>
  <dcterms:created xsi:type="dcterms:W3CDTF">2021-12-15T11:53:00Z</dcterms:created>
  <dcterms:modified xsi:type="dcterms:W3CDTF">2022-02-18T06:43:00Z</dcterms:modified>
</cp:coreProperties>
</file>