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4" w:rsidRPr="00A82A67" w:rsidRDefault="00A23E74" w:rsidP="00A82A67">
      <w:pPr>
        <w:spacing w:line="360" w:lineRule="auto"/>
        <w:jc w:val="center"/>
        <w:rPr>
          <w:sz w:val="28"/>
          <w:szCs w:val="28"/>
        </w:rPr>
      </w:pPr>
      <w:r w:rsidRPr="00A82A67">
        <w:rPr>
          <w:sz w:val="28"/>
          <w:szCs w:val="28"/>
        </w:rPr>
        <w:t>ЗАКЛЮЧЕНИЕ</w:t>
      </w:r>
    </w:p>
    <w:p w:rsidR="00A23E74" w:rsidRPr="00A82A67" w:rsidRDefault="00A23E74" w:rsidP="00A82A67">
      <w:pPr>
        <w:spacing w:line="360" w:lineRule="auto"/>
        <w:jc w:val="center"/>
        <w:rPr>
          <w:sz w:val="28"/>
          <w:szCs w:val="28"/>
        </w:rPr>
      </w:pPr>
      <w:r w:rsidRPr="00A82A67">
        <w:rPr>
          <w:sz w:val="28"/>
          <w:szCs w:val="28"/>
        </w:rPr>
        <w:t xml:space="preserve">Ревизионной комиссии по отчету об исполнении бюджета муниципального района Давлекановский район </w:t>
      </w:r>
      <w:r w:rsidR="00164CD1" w:rsidRPr="00A82A67">
        <w:rPr>
          <w:sz w:val="28"/>
          <w:szCs w:val="28"/>
        </w:rPr>
        <w:t xml:space="preserve">Республики Башкортостан за 2015 </w:t>
      </w:r>
      <w:r w:rsidRPr="00A82A67">
        <w:rPr>
          <w:sz w:val="28"/>
          <w:szCs w:val="28"/>
        </w:rPr>
        <w:t>год</w:t>
      </w:r>
    </w:p>
    <w:p w:rsidR="00A23E74" w:rsidRDefault="00A23E74" w:rsidP="00A82A67">
      <w:pPr>
        <w:spacing w:line="360" w:lineRule="auto"/>
        <w:rPr>
          <w:sz w:val="28"/>
          <w:szCs w:val="28"/>
        </w:rPr>
      </w:pPr>
    </w:p>
    <w:p w:rsidR="00A23E74" w:rsidRDefault="00A82A67" w:rsidP="00A82A6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12 </w:t>
      </w:r>
      <w:r w:rsidR="00164CD1">
        <w:rPr>
          <w:sz w:val="28"/>
          <w:szCs w:val="28"/>
        </w:rPr>
        <w:t xml:space="preserve"> апреля 2016</w:t>
      </w:r>
      <w:r w:rsidR="00A23E74">
        <w:rPr>
          <w:sz w:val="28"/>
          <w:szCs w:val="28"/>
        </w:rPr>
        <w:t xml:space="preserve"> года</w:t>
      </w:r>
    </w:p>
    <w:p w:rsidR="00A23E74" w:rsidRDefault="00A23E74" w:rsidP="00A82A67">
      <w:pPr>
        <w:spacing w:line="360" w:lineRule="auto"/>
        <w:rPr>
          <w:sz w:val="28"/>
          <w:szCs w:val="28"/>
        </w:rPr>
      </w:pPr>
    </w:p>
    <w:p w:rsidR="00A23E74" w:rsidRDefault="00A23E74" w:rsidP="00A82A6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Федерального закона от 6 октября 2003 года «Об общих принципах организации местного самоуправления в Российской Федерации», 264.4 Бюджетного кодекса Российской Федерации, статьями 39, 41 Устава муниципального района Давлекановский район Республики Башкортостан, статьей </w:t>
      </w:r>
      <w:r w:rsidRPr="00C37628">
        <w:rPr>
          <w:sz w:val="28"/>
          <w:szCs w:val="28"/>
        </w:rPr>
        <w:t>57 Положения о  бюджетном процессе в муниципальном районе Давлекановский район Республики Башкортостан, утвержденного решением Совета муниципального района Давлекановский рай</w:t>
      </w:r>
      <w:r>
        <w:rPr>
          <w:sz w:val="28"/>
          <w:szCs w:val="28"/>
        </w:rPr>
        <w:t>он Республики Башкортостан от 05</w:t>
      </w:r>
      <w:proofErr w:type="gramEnd"/>
      <w:r>
        <w:rPr>
          <w:sz w:val="28"/>
          <w:szCs w:val="28"/>
        </w:rPr>
        <w:t xml:space="preserve"> марта 2014</w:t>
      </w:r>
      <w:r w:rsidR="00C7069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3/37-30, Ревизионная комиссия муниципального района Давлекановский район Республики Башкортостан рассмотрела представленный администрацией муниципального района Давлекановский район Республики Башкортостан отчет об исполнении бюджета муниципального района Давлекановский район</w:t>
      </w:r>
      <w:r w:rsidR="00164CD1">
        <w:rPr>
          <w:sz w:val="28"/>
          <w:szCs w:val="28"/>
        </w:rPr>
        <w:t xml:space="preserve"> Республики Башкортостан за 2015</w:t>
      </w:r>
      <w:r>
        <w:rPr>
          <w:sz w:val="28"/>
          <w:szCs w:val="28"/>
        </w:rPr>
        <w:t xml:space="preserve"> год. Отчет составлен на основе бюджетной отчетности главных администраторов бюджетных средств.</w:t>
      </w:r>
    </w:p>
    <w:p w:rsidR="00A23E74" w:rsidRDefault="00A23E74" w:rsidP="00A82A6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A">
        <w:rPr>
          <w:sz w:val="28"/>
          <w:szCs w:val="28"/>
        </w:rPr>
        <w:t xml:space="preserve">В соответствии  со статьей 264.4 Бюджетного кодекса Российской Федерации </w:t>
      </w:r>
      <w:r>
        <w:rPr>
          <w:sz w:val="28"/>
          <w:szCs w:val="28"/>
        </w:rPr>
        <w:t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23E74" w:rsidRDefault="00A23E74" w:rsidP="00A82A6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местного бюджета осуществляется органом муниципального финансового контроля – Ревизионной комиссией.</w:t>
      </w:r>
    </w:p>
    <w:p w:rsidR="00A23E74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указанной статьей Бюджетного кодекса Российской Федерации м</w:t>
      </w:r>
      <w:r w:rsidRPr="00C5543A">
        <w:rPr>
          <w:rFonts w:ascii="Times New Roman" w:hAnsi="Times New Roman" w:cs="Times New Roman"/>
          <w:sz w:val="28"/>
          <w:szCs w:val="28"/>
        </w:rPr>
        <w:t>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  <w:r>
        <w:rPr>
          <w:rFonts w:ascii="Times New Roman" w:hAnsi="Times New Roman" w:cs="Times New Roman"/>
          <w:sz w:val="28"/>
          <w:szCs w:val="28"/>
        </w:rPr>
        <w:t xml:space="preserve"> Ревизионная комиссия</w:t>
      </w:r>
      <w:r w:rsidRPr="00C5543A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74" w:rsidRDefault="00A23E74" w:rsidP="00A82A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муниципального района Давлекановский район</w:t>
      </w:r>
      <w:r w:rsidR="00164CD1">
        <w:rPr>
          <w:sz w:val="28"/>
          <w:szCs w:val="28"/>
        </w:rPr>
        <w:t xml:space="preserve"> Республики Башкортостан за 2015</w:t>
      </w:r>
      <w:r>
        <w:rPr>
          <w:sz w:val="28"/>
          <w:szCs w:val="28"/>
        </w:rPr>
        <w:t xml:space="preserve"> год составлен на основании показателей форм бюджетной отчетности, представленных 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</w:t>
      </w:r>
    </w:p>
    <w:p w:rsidR="009022E0" w:rsidRDefault="009022E0" w:rsidP="00A82A67">
      <w:pPr>
        <w:pStyle w:val="a4"/>
        <w:spacing w:line="360" w:lineRule="auto"/>
      </w:pPr>
      <w:r>
        <w:t>Основные характеристики отчета об исполнении бюджета муниципального района Давлекановский район Республики Башкортостан за 2015 год:</w:t>
      </w:r>
    </w:p>
    <w:p w:rsidR="009022E0" w:rsidRDefault="009022E0" w:rsidP="00A82A67">
      <w:pPr>
        <w:pStyle w:val="a4"/>
        <w:spacing w:line="360" w:lineRule="auto"/>
      </w:pPr>
      <w:r>
        <w:t>общий объем доходов по отчету об исполнении бюджета муниципального  района Давлекановский район Республики Башкортостан за 2015 год в сумме 740720,8 тыс. рублей;</w:t>
      </w:r>
    </w:p>
    <w:p w:rsidR="009022E0" w:rsidRDefault="009022E0" w:rsidP="00A82A67">
      <w:pPr>
        <w:pStyle w:val="a4"/>
        <w:spacing w:line="360" w:lineRule="auto"/>
      </w:pPr>
      <w:r>
        <w:t>общий объем расходов по отчету об исполнении бюджета муниципального района Давлекановский район Республики Башкортостан за 2015 год  в сумме 716332,4  тыс. рублей;</w:t>
      </w:r>
    </w:p>
    <w:p w:rsidR="009022E0" w:rsidRDefault="009022E0" w:rsidP="00A82A67">
      <w:pPr>
        <w:pStyle w:val="a4"/>
        <w:spacing w:line="360" w:lineRule="auto"/>
      </w:pPr>
      <w:r>
        <w:t xml:space="preserve">общий профицит бюджета по отчету об исполнении бюджета муниципального района Давлекановский район Республики Башкортостан за 2015 год  в сумме  24388,4  тыс. рублей. </w:t>
      </w:r>
    </w:p>
    <w:p w:rsidR="00127977" w:rsidRDefault="00127977" w:rsidP="00A82A67">
      <w:pPr>
        <w:pStyle w:val="a4"/>
        <w:spacing w:line="360" w:lineRule="auto"/>
        <w:rPr>
          <w:szCs w:val="28"/>
        </w:rPr>
      </w:pPr>
      <w:proofErr w:type="gramStart"/>
      <w:r>
        <w:t xml:space="preserve">Согласно представленной пояснительной записки </w:t>
      </w:r>
      <w:r>
        <w:rPr>
          <w:szCs w:val="28"/>
        </w:rPr>
        <w:t>п</w:t>
      </w:r>
      <w:r w:rsidRPr="009022E0">
        <w:rPr>
          <w:szCs w:val="28"/>
        </w:rPr>
        <w:t xml:space="preserve">о состоянию на 01.01.2016 года на территории муниципального района Давлекановский район числятся 27 муниципальных казенных учреждений из них: в сфере </w:t>
      </w:r>
      <w:r w:rsidRPr="009022E0">
        <w:rPr>
          <w:szCs w:val="28"/>
        </w:rPr>
        <w:lastRenderedPageBreak/>
        <w:t>образования - 3 учреждения, в сфере культуры - 2 учреждения,</w:t>
      </w:r>
      <w:r w:rsidRPr="00127977">
        <w:rPr>
          <w:szCs w:val="28"/>
        </w:rPr>
        <w:t xml:space="preserve"> </w:t>
      </w:r>
      <w:r w:rsidRPr="009022E0">
        <w:rPr>
          <w:szCs w:val="28"/>
        </w:rPr>
        <w:t>в сфере общегосударственных вопросов - 4 учреждения (3 - органов местного самоуправления, 1 - централизованная бухгалтерия  сельских поселений</w:t>
      </w:r>
      <w:r>
        <w:rPr>
          <w:szCs w:val="28"/>
        </w:rPr>
        <w:t>).</w:t>
      </w:r>
      <w:r w:rsidRPr="009022E0">
        <w:rPr>
          <w:szCs w:val="28"/>
        </w:rPr>
        <w:t xml:space="preserve"> </w:t>
      </w:r>
      <w:proofErr w:type="gram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27977" w:rsidRPr="009022E0" w:rsidTr="00127977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77" w:rsidRPr="009022E0" w:rsidRDefault="00127977" w:rsidP="00A82A6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022E0">
              <w:rPr>
                <w:sz w:val="28"/>
                <w:szCs w:val="28"/>
              </w:rPr>
              <w:t xml:space="preserve">   Основными задачами </w:t>
            </w:r>
            <w:proofErr w:type="gramStart"/>
            <w:r w:rsidRPr="009022E0">
              <w:rPr>
                <w:sz w:val="28"/>
                <w:szCs w:val="28"/>
              </w:rPr>
              <w:t>анализа повышения эффективности использования средств труда</w:t>
            </w:r>
            <w:proofErr w:type="gramEnd"/>
            <w:r w:rsidRPr="009022E0">
              <w:rPr>
                <w:sz w:val="28"/>
                <w:szCs w:val="28"/>
              </w:rPr>
              <w:t xml:space="preserve"> в казенных учреждениях являются:</w:t>
            </w:r>
          </w:p>
        </w:tc>
      </w:tr>
      <w:tr w:rsidR="00127977" w:rsidRPr="009022E0" w:rsidTr="00127977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77" w:rsidRPr="009022E0" w:rsidRDefault="00127977" w:rsidP="00A82A6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022E0">
              <w:rPr>
                <w:sz w:val="28"/>
                <w:szCs w:val="28"/>
              </w:rPr>
              <w:t>1. Изучение состава и динамики основных средств, технического состояния и темпов обновления активной их части, введение новой техники, модернизации и замены морально устаревшего оборудования;</w:t>
            </w:r>
          </w:p>
        </w:tc>
      </w:tr>
      <w:tr w:rsidR="00127977" w:rsidRPr="009022E0" w:rsidTr="00127977">
        <w:trPr>
          <w:trHeight w:val="33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977" w:rsidRPr="009022E0" w:rsidRDefault="00127977" w:rsidP="00A82A6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022E0">
              <w:rPr>
                <w:sz w:val="28"/>
                <w:szCs w:val="28"/>
              </w:rPr>
              <w:t xml:space="preserve">Выявление </w:t>
            </w:r>
            <w:proofErr w:type="gramStart"/>
            <w:r w:rsidRPr="009022E0">
              <w:rPr>
                <w:sz w:val="28"/>
                <w:szCs w:val="28"/>
              </w:rPr>
              <w:t>резервов повышения эффективности использования основных фондов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27977" w:rsidRPr="009022E0" w:rsidTr="00127977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977" w:rsidRPr="009022E0" w:rsidRDefault="00127977" w:rsidP="00A82A6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022E0">
              <w:rPr>
                <w:sz w:val="28"/>
                <w:szCs w:val="28"/>
              </w:rPr>
              <w:t>Для более эффективного использования основных сре</w:t>
            </w:r>
            <w:proofErr w:type="gramStart"/>
            <w:r w:rsidRPr="009022E0">
              <w:rPr>
                <w:sz w:val="28"/>
                <w:szCs w:val="28"/>
              </w:rPr>
              <w:t>дств пр</w:t>
            </w:r>
            <w:proofErr w:type="gramEnd"/>
            <w:r w:rsidRPr="009022E0">
              <w:rPr>
                <w:sz w:val="28"/>
                <w:szCs w:val="28"/>
              </w:rPr>
              <w:t>оводятся следующие мероприятия:</w:t>
            </w:r>
          </w:p>
        </w:tc>
      </w:tr>
      <w:tr w:rsidR="00127977" w:rsidRPr="009022E0" w:rsidTr="00127977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77" w:rsidRPr="009022E0" w:rsidRDefault="00127977" w:rsidP="00A82A6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022E0">
              <w:rPr>
                <w:sz w:val="28"/>
                <w:szCs w:val="28"/>
              </w:rPr>
              <w:t>1. Ввод в действие нового оборудования, замена и модернизация старого;</w:t>
            </w:r>
          </w:p>
        </w:tc>
      </w:tr>
      <w:tr w:rsidR="00127977" w:rsidRPr="009022E0" w:rsidTr="00127977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77" w:rsidRPr="009022E0" w:rsidRDefault="00127977" w:rsidP="00A82A6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022E0">
              <w:rPr>
                <w:sz w:val="28"/>
                <w:szCs w:val="28"/>
              </w:rPr>
              <w:t>2. Повышение квалификации рабочего персонала;</w:t>
            </w:r>
          </w:p>
        </w:tc>
      </w:tr>
      <w:tr w:rsidR="00127977" w:rsidRPr="009022E0" w:rsidTr="00127977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977" w:rsidRPr="009022E0" w:rsidRDefault="00127977" w:rsidP="00A82A6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022E0">
              <w:rPr>
                <w:sz w:val="28"/>
                <w:szCs w:val="28"/>
              </w:rPr>
              <w:t>Эффективное использование основных фондов способствует улучшению всех экономических показателей.</w:t>
            </w:r>
          </w:p>
        </w:tc>
      </w:tr>
    </w:tbl>
    <w:p w:rsidR="00A23E74" w:rsidRDefault="00A23E74" w:rsidP="00A82A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264.5 </w:t>
      </w:r>
      <w:r w:rsidR="00A82A67">
        <w:rPr>
          <w:sz w:val="28"/>
          <w:szCs w:val="28"/>
        </w:rPr>
        <w:t>Бюджетного кодекса Российской Федерации</w:t>
      </w:r>
      <w:r w:rsidR="00A82A6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одновременно  с отчетом об исполнении бюджета представлены проект решения об исполнении бюджета муниципального района Давлекановский район</w:t>
      </w:r>
      <w:r w:rsidR="00164CD1">
        <w:rPr>
          <w:sz w:val="28"/>
          <w:szCs w:val="28"/>
        </w:rPr>
        <w:t xml:space="preserve"> Республики Башкортостан за 2015</w:t>
      </w:r>
      <w:r>
        <w:rPr>
          <w:sz w:val="28"/>
          <w:szCs w:val="28"/>
        </w:rPr>
        <w:t xml:space="preserve"> год, иные документы, предусмотренные бюджетным законодательством Российской Федерации.</w:t>
      </w:r>
    </w:p>
    <w:p w:rsidR="00A23E74" w:rsidRPr="00C5543A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264.6 Бюджетного кодекса Российской Федерации, статьи 39 Устава муниципального района Давлекановский район Республики Башкортостан   отдельными приложениями к годовому отчету об исполнении бюджета также утверждаются следующие показатели:</w:t>
      </w:r>
    </w:p>
    <w:p w:rsidR="00A23E74" w:rsidRPr="0046250C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доходов бюджета по кодам </w:t>
      </w:r>
      <w:r w:rsidR="00164CD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46250C">
        <w:rPr>
          <w:rFonts w:ascii="Times New Roman" w:hAnsi="Times New Roman" w:cs="Times New Roman"/>
          <w:sz w:val="28"/>
          <w:szCs w:val="28"/>
        </w:rPr>
        <w:t>классификации доходов бюджетов;</w:t>
      </w:r>
    </w:p>
    <w:p w:rsidR="00A23E74" w:rsidRPr="0046250C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 по </w:t>
      </w:r>
      <w:r w:rsidR="00164CD1">
        <w:rPr>
          <w:rFonts w:ascii="Times New Roman" w:hAnsi="Times New Roman" w:cs="Times New Roman"/>
          <w:sz w:val="28"/>
          <w:szCs w:val="28"/>
        </w:rPr>
        <w:t xml:space="preserve">видам доходов, подвидам </w:t>
      </w:r>
      <w:r w:rsidRPr="0046250C">
        <w:rPr>
          <w:rFonts w:ascii="Times New Roman" w:hAnsi="Times New Roman" w:cs="Times New Roman"/>
          <w:sz w:val="28"/>
          <w:szCs w:val="28"/>
        </w:rPr>
        <w:t>доходов, классификации операций сектора государственного управления, относящихся к доходам бюджета;</w:t>
      </w:r>
    </w:p>
    <w:p w:rsidR="00A23E74" w:rsidRPr="0046250C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A23E74" w:rsidRPr="0046250C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A23E74" w:rsidRPr="0046250C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46250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6250C">
        <w:rPr>
          <w:rFonts w:ascii="Times New Roman" w:hAnsi="Times New Roman" w:cs="Times New Roman"/>
          <w:sz w:val="28"/>
          <w:szCs w:val="28"/>
        </w:rPr>
        <w:t>;</w:t>
      </w:r>
    </w:p>
    <w:p w:rsidR="00A23E74" w:rsidRPr="0046250C" w:rsidRDefault="00A23E74" w:rsidP="00A82A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46250C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6250C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A23E74" w:rsidRDefault="00A23E74" w:rsidP="00A82A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об исполнении бюджета муниципального района Давлекановский район</w:t>
      </w:r>
      <w:r w:rsidR="009022E0">
        <w:rPr>
          <w:sz w:val="28"/>
          <w:szCs w:val="28"/>
        </w:rPr>
        <w:t xml:space="preserve"> Республики Башкортостан за 2015</w:t>
      </w:r>
      <w:r>
        <w:rPr>
          <w:sz w:val="28"/>
          <w:szCs w:val="28"/>
        </w:rPr>
        <w:t xml:space="preserve"> год и приложенные документы, Ревизионная комиссия муниципального района Давлекановский район Республики Башкортостан считает, что представленный отчет об исполнении бюджета муниципального района Давлекановский район</w:t>
      </w:r>
      <w:r w:rsidR="00164CD1">
        <w:rPr>
          <w:sz w:val="28"/>
          <w:szCs w:val="28"/>
        </w:rPr>
        <w:t xml:space="preserve"> Республики Башкортостан за 2015</w:t>
      </w:r>
      <w:r>
        <w:rPr>
          <w:sz w:val="28"/>
          <w:szCs w:val="28"/>
        </w:rPr>
        <w:t xml:space="preserve"> год составлен в соответствии с действующим бюджетным законодательством.</w:t>
      </w:r>
    </w:p>
    <w:p w:rsidR="00A23E74" w:rsidRDefault="00A23E74" w:rsidP="00A82A6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264.5 Бюджетного кодекса Российской Федерации, статьи 40 Устава муниципального района Давлекановский район Республики Башкортостан</w:t>
      </w:r>
      <w:r w:rsidR="00C70694">
        <w:rPr>
          <w:sz w:val="28"/>
          <w:szCs w:val="28"/>
        </w:rPr>
        <w:t xml:space="preserve">, статьи </w:t>
      </w:r>
      <w:r w:rsidR="00C70694" w:rsidRPr="00C37628">
        <w:rPr>
          <w:sz w:val="28"/>
          <w:szCs w:val="28"/>
        </w:rPr>
        <w:t>57 Положения о  бюджетном процессе в муниципальном районе Давлекановский район Республики Башкортостан, утвержденного решением Совета муниципального района Давлекановский рай</w:t>
      </w:r>
      <w:r w:rsidR="00C70694">
        <w:rPr>
          <w:sz w:val="28"/>
          <w:szCs w:val="28"/>
        </w:rPr>
        <w:t>он Республики Башкортостан от 05 марта 2014 года №3/37-30, Ревизионная комиссия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Ревизионная комиссия направляет отчет об исполнении</w:t>
      </w:r>
      <w:proofErr w:type="gramEnd"/>
      <w:r>
        <w:rPr>
          <w:sz w:val="28"/>
          <w:szCs w:val="28"/>
        </w:rPr>
        <w:t xml:space="preserve">  бюджета муниципального района Давлекановский район</w:t>
      </w:r>
      <w:r w:rsidR="009022E0">
        <w:rPr>
          <w:sz w:val="28"/>
          <w:szCs w:val="28"/>
        </w:rPr>
        <w:t xml:space="preserve"> </w:t>
      </w:r>
      <w:r w:rsidR="009022E0">
        <w:rPr>
          <w:sz w:val="28"/>
          <w:szCs w:val="28"/>
        </w:rPr>
        <w:lastRenderedPageBreak/>
        <w:t>Республики Башкортостан за 2015</w:t>
      </w:r>
      <w:r>
        <w:rPr>
          <w:sz w:val="28"/>
          <w:szCs w:val="28"/>
        </w:rPr>
        <w:t xml:space="preserve"> год на рассмотрение постоянной комиссии Совета по экономике, бюджету, налогам и вопросам собственности.</w:t>
      </w:r>
    </w:p>
    <w:p w:rsidR="00A23E74" w:rsidRDefault="00A23E74" w:rsidP="00A82A67">
      <w:pPr>
        <w:spacing w:line="360" w:lineRule="auto"/>
        <w:jc w:val="both"/>
        <w:rPr>
          <w:sz w:val="28"/>
          <w:szCs w:val="28"/>
        </w:rPr>
      </w:pPr>
    </w:p>
    <w:p w:rsidR="00C70694" w:rsidRDefault="00C70694" w:rsidP="00A82A67">
      <w:pPr>
        <w:spacing w:line="360" w:lineRule="auto"/>
        <w:ind w:firstLine="720"/>
        <w:jc w:val="both"/>
        <w:rPr>
          <w:sz w:val="28"/>
          <w:szCs w:val="28"/>
        </w:rPr>
      </w:pPr>
    </w:p>
    <w:p w:rsidR="00127977" w:rsidRDefault="00127977" w:rsidP="00A82A67">
      <w:pPr>
        <w:ind w:firstLine="720"/>
        <w:jc w:val="right"/>
        <w:rPr>
          <w:sz w:val="28"/>
          <w:szCs w:val="28"/>
        </w:rPr>
      </w:pPr>
    </w:p>
    <w:p w:rsidR="00A23E74" w:rsidRDefault="00A23E74" w:rsidP="00A82A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82A67" w:rsidRDefault="00A82A67" w:rsidP="00A82A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Ревизионной комиссии</w:t>
      </w:r>
      <w:r w:rsidR="00A23E74">
        <w:rPr>
          <w:sz w:val="28"/>
          <w:szCs w:val="28"/>
        </w:rPr>
        <w:tab/>
        <w:t xml:space="preserve">          </w:t>
      </w:r>
    </w:p>
    <w:p w:rsidR="00A23E74" w:rsidRDefault="00A23E74" w:rsidP="00A82A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М.В.</w:t>
      </w:r>
      <w:r w:rsidR="00A82A67">
        <w:rPr>
          <w:sz w:val="28"/>
          <w:szCs w:val="28"/>
        </w:rPr>
        <w:t xml:space="preserve"> </w:t>
      </w:r>
      <w:r>
        <w:rPr>
          <w:sz w:val="28"/>
          <w:szCs w:val="28"/>
        </w:rPr>
        <w:t>Исхаков</w:t>
      </w:r>
    </w:p>
    <w:p w:rsidR="00A23E74" w:rsidRDefault="00A23E74" w:rsidP="00A23E74">
      <w:pPr>
        <w:ind w:firstLine="720"/>
        <w:jc w:val="both"/>
        <w:rPr>
          <w:sz w:val="28"/>
          <w:szCs w:val="28"/>
        </w:rPr>
      </w:pPr>
    </w:p>
    <w:p w:rsidR="009022E0" w:rsidRDefault="009022E0" w:rsidP="00A23E74">
      <w:pPr>
        <w:ind w:firstLine="720"/>
        <w:jc w:val="both"/>
        <w:rPr>
          <w:sz w:val="28"/>
          <w:szCs w:val="28"/>
        </w:rPr>
      </w:pPr>
    </w:p>
    <w:p w:rsidR="00127977" w:rsidRDefault="00127977" w:rsidP="00A23E74">
      <w:pPr>
        <w:ind w:firstLine="720"/>
        <w:jc w:val="both"/>
        <w:rPr>
          <w:sz w:val="28"/>
          <w:szCs w:val="28"/>
        </w:rPr>
      </w:pPr>
    </w:p>
    <w:sectPr w:rsidR="0012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3"/>
    <w:rsid w:val="000F765A"/>
    <w:rsid w:val="00110F75"/>
    <w:rsid w:val="00112FF6"/>
    <w:rsid w:val="00127977"/>
    <w:rsid w:val="00164CD1"/>
    <w:rsid w:val="001D0229"/>
    <w:rsid w:val="001D7A2E"/>
    <w:rsid w:val="001E6CD6"/>
    <w:rsid w:val="00226F93"/>
    <w:rsid w:val="002C5FF5"/>
    <w:rsid w:val="00413B53"/>
    <w:rsid w:val="00454D92"/>
    <w:rsid w:val="0046250C"/>
    <w:rsid w:val="004D77A9"/>
    <w:rsid w:val="005075BB"/>
    <w:rsid w:val="00577D23"/>
    <w:rsid w:val="006349CE"/>
    <w:rsid w:val="0066644B"/>
    <w:rsid w:val="006A60C8"/>
    <w:rsid w:val="00705F83"/>
    <w:rsid w:val="007A7F5E"/>
    <w:rsid w:val="007B337A"/>
    <w:rsid w:val="009022E0"/>
    <w:rsid w:val="00903358"/>
    <w:rsid w:val="0098263A"/>
    <w:rsid w:val="009C010F"/>
    <w:rsid w:val="009E7CBE"/>
    <w:rsid w:val="009F2C76"/>
    <w:rsid w:val="00A07B8B"/>
    <w:rsid w:val="00A23E74"/>
    <w:rsid w:val="00A304FC"/>
    <w:rsid w:val="00A724D5"/>
    <w:rsid w:val="00A82A67"/>
    <w:rsid w:val="00A920E5"/>
    <w:rsid w:val="00B37DF7"/>
    <w:rsid w:val="00B44C10"/>
    <w:rsid w:val="00B81EE6"/>
    <w:rsid w:val="00C00995"/>
    <w:rsid w:val="00C534AC"/>
    <w:rsid w:val="00C5543A"/>
    <w:rsid w:val="00C70694"/>
    <w:rsid w:val="00DB439E"/>
    <w:rsid w:val="00E41C7E"/>
    <w:rsid w:val="00E844B4"/>
    <w:rsid w:val="00EE31E7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112FF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9022E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9022E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112FF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9022E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9022E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фсб</dc:creator>
  <cp:keywords/>
  <dc:description/>
  <cp:lastModifiedBy>User</cp:lastModifiedBy>
  <cp:revision>7</cp:revision>
  <cp:lastPrinted>2016-05-03T05:18:00Z</cp:lastPrinted>
  <dcterms:created xsi:type="dcterms:W3CDTF">2015-04-03T09:18:00Z</dcterms:created>
  <dcterms:modified xsi:type="dcterms:W3CDTF">2016-11-25T05:03:00Z</dcterms:modified>
</cp:coreProperties>
</file>