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30C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Раевский</w:t>
      </w:r>
      <w:r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14A8" w:rsidRDefault="00430C36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4A01BB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A01BB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2022 года № </w:t>
      </w:r>
      <w:r w:rsidR="004A01BB">
        <w:rPr>
          <w:rFonts w:ascii="Times New Roman" w:hAnsi="Times New Roman" w:cs="Times New Roman"/>
          <w:bCs/>
          <w:sz w:val="28"/>
          <w:szCs w:val="28"/>
        </w:rPr>
        <w:t>31</w:t>
      </w:r>
    </w:p>
    <w:p w:rsidR="004A01BB" w:rsidRPr="004A01BB" w:rsidRDefault="004A01BB" w:rsidP="004A01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01BB" w:rsidRPr="004A01BB" w:rsidRDefault="004A01BB" w:rsidP="004A01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0C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4A01BB" w:rsidRDefault="005414A8" w:rsidP="004A01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01BB" w:rsidRPr="004A01BB" w:rsidRDefault="004A01BB" w:rsidP="004A01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самоуправления», </w:t>
      </w:r>
      <w:r w:rsidR="001C4EE1" w:rsidRPr="008A2D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0C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A2D0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C4EE1" w:rsidRPr="008A2D09">
        <w:rPr>
          <w:rFonts w:ascii="Times New Roman" w:hAnsi="Times New Roman" w:cs="Times New Roman"/>
          <w:sz w:val="28"/>
          <w:szCs w:val="28"/>
        </w:rPr>
        <w:t>ПОСТАНОВЛЯЕТ: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12946" w:rsidRPr="008A2D09">
        <w:rPr>
          <w:szCs w:val="28"/>
        </w:rPr>
        <w:t xml:space="preserve">сельского поселения </w:t>
      </w:r>
      <w:r w:rsidR="00430C36">
        <w:rPr>
          <w:rFonts w:eastAsia="Times New Roman"/>
          <w:szCs w:val="28"/>
          <w:lang w:eastAsia="ar-SA"/>
        </w:rPr>
        <w:t>Раевский</w:t>
      </w:r>
      <w:r w:rsidR="00812946" w:rsidRPr="008A2D09">
        <w:rPr>
          <w:szCs w:val="28"/>
        </w:rPr>
        <w:t xml:space="preserve"> 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Республики  Башкортостан,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12946" w:rsidRPr="008A2D09">
        <w:rPr>
          <w:szCs w:val="28"/>
        </w:rPr>
        <w:t xml:space="preserve">сельского поселения </w:t>
      </w:r>
      <w:r w:rsidR="00430C36">
        <w:rPr>
          <w:rFonts w:eastAsia="Times New Roman"/>
          <w:szCs w:val="28"/>
          <w:lang w:eastAsia="ar-SA"/>
        </w:rPr>
        <w:t>Раевский</w:t>
      </w:r>
      <w:r w:rsidR="00812946" w:rsidRPr="008A2D09">
        <w:rPr>
          <w:szCs w:val="28"/>
        </w:rPr>
        <w:t xml:space="preserve"> сельсовет муниципального района Давлекановский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proofErr w:type="gramStart"/>
      <w:r w:rsidRPr="008A2D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0B6CEC" w:rsidRPr="008A2D09" w:rsidRDefault="000B6CEC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30C36">
        <w:rPr>
          <w:rFonts w:ascii="Times New Roman" w:hAnsi="Times New Roman" w:cs="Times New Roman"/>
          <w:sz w:val="28"/>
          <w:szCs w:val="28"/>
        </w:rPr>
        <w:tab/>
      </w:r>
      <w:r w:rsidR="00430C36">
        <w:rPr>
          <w:rFonts w:ascii="Times New Roman" w:hAnsi="Times New Roman" w:cs="Times New Roman"/>
          <w:sz w:val="28"/>
          <w:szCs w:val="28"/>
        </w:rPr>
        <w:tab/>
      </w:r>
      <w:r w:rsidR="00430C36">
        <w:rPr>
          <w:rFonts w:ascii="Times New Roman" w:hAnsi="Times New Roman" w:cs="Times New Roman"/>
          <w:sz w:val="28"/>
          <w:szCs w:val="28"/>
        </w:rPr>
        <w:tab/>
      </w:r>
      <w:r w:rsidR="00430C36">
        <w:rPr>
          <w:rFonts w:ascii="Times New Roman" w:hAnsi="Times New Roman" w:cs="Times New Roman"/>
          <w:sz w:val="28"/>
          <w:szCs w:val="28"/>
        </w:rPr>
        <w:tab/>
      </w:r>
      <w:r w:rsidR="00430C36">
        <w:rPr>
          <w:rFonts w:ascii="Times New Roman" w:hAnsi="Times New Roman" w:cs="Times New Roman"/>
          <w:sz w:val="28"/>
          <w:szCs w:val="28"/>
        </w:rPr>
        <w:tab/>
      </w:r>
      <w:r w:rsidR="00430C36"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2946" w:rsidRPr="00726DAF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6DAF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 w:rsidR="00430C36" w:rsidRPr="00726DAF">
        <w:rPr>
          <w:rFonts w:ascii="Times New Roman" w:hAnsi="Times New Roman" w:cs="Times New Roman"/>
          <w:sz w:val="24"/>
          <w:szCs w:val="24"/>
        </w:rPr>
        <w:t>Раевский</w:t>
      </w:r>
      <w:r w:rsidRPr="00726DA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</w:t>
      </w:r>
    </w:p>
    <w:p w:rsidR="00812946" w:rsidRPr="00726DAF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12946" w:rsidRPr="00726DAF" w:rsidRDefault="00812946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от «</w:t>
      </w:r>
      <w:r w:rsidR="004A01BB" w:rsidRPr="00726DAF">
        <w:rPr>
          <w:rFonts w:ascii="Times New Roman" w:hAnsi="Times New Roman" w:cs="Times New Roman"/>
          <w:sz w:val="24"/>
          <w:szCs w:val="24"/>
        </w:rPr>
        <w:t>11</w:t>
      </w:r>
      <w:r w:rsidRPr="00726DAF">
        <w:rPr>
          <w:rFonts w:ascii="Times New Roman" w:hAnsi="Times New Roman" w:cs="Times New Roman"/>
          <w:sz w:val="24"/>
          <w:szCs w:val="24"/>
        </w:rPr>
        <w:t xml:space="preserve">» </w:t>
      </w:r>
      <w:r w:rsidR="004A01BB" w:rsidRPr="00726DAF">
        <w:rPr>
          <w:rFonts w:ascii="Times New Roman" w:hAnsi="Times New Roman" w:cs="Times New Roman"/>
          <w:sz w:val="24"/>
          <w:szCs w:val="24"/>
        </w:rPr>
        <w:t xml:space="preserve"> мая</w:t>
      </w:r>
      <w:r w:rsidRPr="00726DAF">
        <w:rPr>
          <w:rFonts w:ascii="Times New Roman" w:hAnsi="Times New Roman" w:cs="Times New Roman"/>
          <w:sz w:val="24"/>
          <w:szCs w:val="24"/>
        </w:rPr>
        <w:t xml:space="preserve"> 2022 г. N </w:t>
      </w:r>
      <w:r w:rsidR="004A01BB" w:rsidRPr="00726DAF">
        <w:rPr>
          <w:rFonts w:ascii="Times New Roman" w:hAnsi="Times New Roman" w:cs="Times New Roman"/>
          <w:sz w:val="24"/>
          <w:szCs w:val="24"/>
        </w:rPr>
        <w:t>31</w:t>
      </w:r>
    </w:p>
    <w:p w:rsidR="005414A8" w:rsidRPr="008A2D09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30C36">
        <w:rPr>
          <w:rFonts w:ascii="Times New Roman" w:hAnsi="Times New Roman" w:cs="Times New Roman"/>
          <w:sz w:val="24"/>
          <w:szCs w:val="24"/>
        </w:rPr>
        <w:t>Раевский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</w:t>
      </w:r>
      <w:bookmarkStart w:id="1" w:name="_GoBack"/>
      <w:bookmarkEnd w:id="1"/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812946" w:rsidRPr="008A2D09">
        <w:t xml:space="preserve">сельском поселении </w:t>
      </w:r>
      <w:r w:rsidR="00430C36">
        <w:t>Раевский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12946" w:rsidRPr="008A2D09">
        <w:t xml:space="preserve">сельского поселения </w:t>
      </w:r>
      <w:r w:rsidR="00430C36">
        <w:t>Раевский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</w:t>
      </w:r>
      <w:proofErr w:type="gramEnd"/>
      <w:r w:rsidRPr="008A2D09">
        <w:t xml:space="preserve">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 xml:space="preserve">сельского поселения </w:t>
      </w:r>
      <w:r w:rsidR="00430C36">
        <w:t>Раевский</w:t>
      </w:r>
      <w:r w:rsidR="00812946" w:rsidRPr="008A2D09">
        <w:t xml:space="preserve"> 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</w:t>
      </w:r>
      <w:proofErr w:type="gramStart"/>
      <w:r w:rsidRPr="008A2D09">
        <w:t xml:space="preserve">Объем бюджетных ассигнований на реализацию программ утверждается решением Совета </w:t>
      </w:r>
      <w:r w:rsidR="00812946" w:rsidRPr="008A2D09">
        <w:t>сельского поселения</w:t>
      </w:r>
      <w:r w:rsidR="00430C36">
        <w:t xml:space="preserve"> Раевский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lastRenderedPageBreak/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430C36">
        <w:t>Раевский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</w:t>
      </w:r>
      <w:proofErr w:type="gramStart"/>
      <w:r w:rsidRPr="008A2D09">
        <w:t xml:space="preserve">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430C36">
        <w:t>Раевский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</w:t>
      </w:r>
      <w:proofErr w:type="gramEnd"/>
      <w:r w:rsidRPr="008A2D09">
        <w:t xml:space="preserve">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Глава сельского поселения</w:t>
      </w:r>
      <w:r w:rsidR="00430C36">
        <w:t xml:space="preserve"> Раевский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12946" w:rsidRPr="008A2D09">
        <w:t xml:space="preserve">сельском поселении </w:t>
      </w:r>
      <w:r w:rsidR="00430C36">
        <w:t>Раевский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</w:t>
      </w:r>
      <w:r w:rsidRPr="008A2D09">
        <w:lastRenderedPageBreak/>
        <w:t>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</w:t>
      </w:r>
      <w:proofErr w:type="gramEnd"/>
      <w:r w:rsidRPr="008A2D09">
        <w:t xml:space="preserve">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8A2D09" w:rsidRPr="008A2D09">
        <w:t>сельского поселения</w:t>
      </w:r>
      <w:r w:rsidR="00430C36">
        <w:t xml:space="preserve"> Раевский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30C36">
        <w:rPr>
          <w:rFonts w:ascii="Times New Roman" w:hAnsi="Times New Roman" w:cs="Times New Roman"/>
          <w:sz w:val="24"/>
          <w:szCs w:val="24"/>
        </w:rPr>
        <w:t xml:space="preserve"> Раевский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30C36">
        <w:rPr>
          <w:rFonts w:ascii="Times New Roman" w:hAnsi="Times New Roman" w:cs="Times New Roman"/>
          <w:sz w:val="24"/>
          <w:szCs w:val="24"/>
        </w:rPr>
        <w:t xml:space="preserve"> Раевский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8A2D09" w:rsidRPr="008A2D09">
        <w:rPr>
          <w:rFonts w:ascii="Times New Roman" w:hAnsi="Times New Roman" w:cs="Times New Roman"/>
          <w:sz w:val="24"/>
          <w:szCs w:val="24"/>
        </w:rPr>
        <w:lastRenderedPageBreak/>
        <w:t>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30C36">
        <w:rPr>
          <w:rFonts w:ascii="Times New Roman" w:hAnsi="Times New Roman" w:cs="Times New Roman"/>
          <w:sz w:val="24"/>
          <w:szCs w:val="24"/>
        </w:rPr>
        <w:t xml:space="preserve"> Раевский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продления срока реализации муниципальной программы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процент отклонения достигнутых показателей результативности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30C36">
        <w:rPr>
          <w:rFonts w:ascii="Times New Roman" w:hAnsi="Times New Roman" w:cs="Times New Roman"/>
          <w:sz w:val="24"/>
          <w:szCs w:val="24"/>
        </w:rPr>
        <w:t xml:space="preserve"> Раевский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в 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30C36">
        <w:rPr>
          <w:rFonts w:ascii="Times New Roman" w:hAnsi="Times New Roman" w:cs="Times New Roman"/>
          <w:sz w:val="24"/>
          <w:szCs w:val="24"/>
        </w:rPr>
        <w:t xml:space="preserve"> Раевский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Отчет об использовании предусмотренных на реализацию муниципальных программ денежных сре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30C36">
        <w:rPr>
          <w:rFonts w:ascii="Times New Roman" w:hAnsi="Times New Roman" w:cs="Times New Roman"/>
          <w:sz w:val="24"/>
          <w:szCs w:val="24"/>
        </w:rPr>
        <w:t xml:space="preserve"> Раевский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1BB" w:rsidRDefault="004A0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4A01BB" w:rsidRDefault="004A0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430C36" w:rsidRDefault="00430C36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36" w:rsidRDefault="00430C36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F0DA4"/>
    <w:rsid w:val="00412113"/>
    <w:rsid w:val="00422831"/>
    <w:rsid w:val="00430C36"/>
    <w:rsid w:val="004A01BB"/>
    <w:rsid w:val="005414A8"/>
    <w:rsid w:val="006662E7"/>
    <w:rsid w:val="0070799B"/>
    <w:rsid w:val="00726DAF"/>
    <w:rsid w:val="00794FAF"/>
    <w:rsid w:val="007B4371"/>
    <w:rsid w:val="00812946"/>
    <w:rsid w:val="008A2D09"/>
    <w:rsid w:val="00BC2B41"/>
    <w:rsid w:val="00D65447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B7E7-56DC-49B4-958E-184CD3F2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Раевский</cp:lastModifiedBy>
  <cp:revision>7</cp:revision>
  <cp:lastPrinted>2022-03-31T13:50:00Z</cp:lastPrinted>
  <dcterms:created xsi:type="dcterms:W3CDTF">2022-03-29T08:31:00Z</dcterms:created>
  <dcterms:modified xsi:type="dcterms:W3CDTF">2022-05-20T07:16:00Z</dcterms:modified>
</cp:coreProperties>
</file>