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D1" w:rsidRDefault="005F5CD1" w:rsidP="005F5CD1">
      <w:pPr>
        <w:tabs>
          <w:tab w:val="left" w:pos="66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ПРОЕКТ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15B1" w:rsidRPr="00BB1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BB15B1" w:rsidRDefault="00D65D7C" w:rsidP="00BB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B15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B15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B15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B15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BB15B1" w:rsidRDefault="00D65D7C" w:rsidP="00BB15B1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proofErr w:type="spellStart"/>
      <w:r w:rsidR="002C0663" w:rsidRPr="002C06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2C0663" w:rsidRDefault="00D65D7C" w:rsidP="00D6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</w:p>
    <w:p w:rsidR="00D65D7C" w:rsidRPr="003705C7" w:rsidRDefault="002C0663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D65D7C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D65D7C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C0663" w:rsidRPr="002C06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2C0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09.11.2010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года №</w:t>
      </w:r>
      <w:r w:rsidR="002C0663"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78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2C0663" w:rsidP="0078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D65D7C" w:rsidRPr="00513E84" w:rsidRDefault="00D65D7C" w:rsidP="00784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2C0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bookmarkEnd w:id="2"/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8F16C1" w:rsidRPr="008F16C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F16C1" w:rsidRPr="008F16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16C1" w:rsidRDefault="008F16C1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6C1" w:rsidRDefault="008F16C1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6C1" w:rsidRPr="00621161" w:rsidRDefault="008F16C1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881AC2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6C1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8F16C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8F16C1">
        <w:rPr>
          <w:rFonts w:ascii="Times New Roman" w:hAnsi="Times New Roman" w:cs="Times New Roman"/>
          <w:sz w:val="28"/>
          <w:szCs w:val="28"/>
        </w:rPr>
        <w:t>поселени</w:t>
      </w:r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</w:t>
      </w:r>
      <w:proofErr w:type="gramStart"/>
      <w:r w:rsidRPr="00D74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lastRenderedPageBreak/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рименением усиленной квалифицирован</w:t>
      </w:r>
      <w:r w:rsidR="008F16C1">
        <w:rPr>
          <w:rFonts w:ascii="Times New Roman" w:hAnsi="Times New Roman" w:cs="Times New Roman"/>
          <w:sz w:val="28"/>
          <w:szCs w:val="28"/>
        </w:rPr>
        <w:t xml:space="preserve">ной электронной подписи (далее </w:t>
      </w:r>
      <w:r>
        <w:rPr>
          <w:rFonts w:ascii="Times New Roman" w:hAnsi="Times New Roman" w:cs="Times New Roman"/>
          <w:sz w:val="28"/>
          <w:szCs w:val="28"/>
        </w:rPr>
        <w:t>с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)</w:t>
      </w:r>
      <w:r w:rsidRPr="00805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3AE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16C1" w:rsidRPr="008F16C1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>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01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одновременно</w:t>
      </w:r>
      <w:proofErr w:type="gramEnd"/>
      <w:r w:rsidRPr="00951BF4">
        <w:rPr>
          <w:rFonts w:ascii="Times New Roman" w:hAnsi="Times New Roman" w:cs="Times New Roman"/>
          <w:sz w:val="28"/>
          <w:szCs w:val="28"/>
        </w:rPr>
        <w:t xml:space="preserve">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E65">
        <w:rPr>
          <w:rFonts w:ascii="Times New Roman" w:hAnsi="Times New Roman" w:cs="Times New Roman"/>
          <w:sz w:val="28"/>
          <w:szCs w:val="28"/>
        </w:rPr>
        <w:t>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01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>периоде от соответствующего показателя прогноза кассовых выплат на величину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proofErr w:type="spellStart"/>
      <w:r w:rsidR="00015174" w:rsidRPr="00015174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4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4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4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4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закрепленным кодам классификации источников финансирования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4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0607" w:rsidRPr="00640607">
        <w:rPr>
          <w:rFonts w:ascii="Times New Roman" w:hAnsi="Times New Roman" w:cs="Times New Roman"/>
          <w:sz w:val="28"/>
          <w:szCs w:val="28"/>
        </w:rPr>
        <w:t>Казангуловский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2915" w:rsidRPr="0084291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4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2915" w:rsidRPr="0084291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A3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proofErr w:type="spellStart"/>
      <w:r w:rsidR="00A34E85" w:rsidRPr="00A34E8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E85" w:rsidRPr="00A34E8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proofErr w:type="spellStart"/>
      <w:r w:rsidR="00A34E85" w:rsidRPr="00A34E85">
        <w:rPr>
          <w:rFonts w:ascii="Times New Roman" w:hAnsi="Times New Roman" w:cs="Times New Roman"/>
          <w:sz w:val="28"/>
          <w:szCs w:val="28"/>
        </w:rPr>
        <w:t>Казангуловский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15174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C0663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87FBA"/>
    <w:rsid w:val="005A69C2"/>
    <w:rsid w:val="005B2F3E"/>
    <w:rsid w:val="005B6B9F"/>
    <w:rsid w:val="005C1E39"/>
    <w:rsid w:val="005F5CD1"/>
    <w:rsid w:val="006035CF"/>
    <w:rsid w:val="00610B3E"/>
    <w:rsid w:val="00640607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4DA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2915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8F16C1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4E85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5F3A"/>
    <w:rsid w:val="00BB15B1"/>
    <w:rsid w:val="00BD7299"/>
    <w:rsid w:val="00BE26B4"/>
    <w:rsid w:val="00BF77A7"/>
    <w:rsid w:val="00C1132B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11</cp:revision>
  <cp:lastPrinted>2019-09-09T13:22:00Z</cp:lastPrinted>
  <dcterms:created xsi:type="dcterms:W3CDTF">2019-09-05T07:09:00Z</dcterms:created>
  <dcterms:modified xsi:type="dcterms:W3CDTF">2019-09-09T13:23:00Z</dcterms:modified>
</cp:coreProperties>
</file>