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CFD71" w14:textId="69C8C38E" w:rsidR="002E3962" w:rsidRDefault="00A15DF1" w:rsidP="002E3962">
      <w:pPr>
        <w:spacing w:after="0" w:line="240" w:lineRule="auto"/>
        <w:jc w:val="center"/>
        <w:rPr>
          <w:b/>
        </w:rPr>
      </w:pPr>
      <w:r>
        <w:rPr>
          <w:b/>
        </w:rPr>
        <w:t xml:space="preserve"> </w:t>
      </w:r>
    </w:p>
    <w:p w14:paraId="45523C38" w14:textId="77777777" w:rsidR="002E3962" w:rsidRPr="00391F97" w:rsidRDefault="002E3962" w:rsidP="002E3962">
      <w:pPr>
        <w:spacing w:after="0" w:line="240" w:lineRule="auto"/>
        <w:jc w:val="center"/>
        <w:rPr>
          <w:b/>
        </w:rPr>
      </w:pPr>
      <w:r w:rsidRPr="00B16F5E">
        <w:rPr>
          <w:b/>
        </w:rPr>
        <w:t xml:space="preserve">Администрация </w:t>
      </w:r>
      <w:r>
        <w:rPr>
          <w:b/>
        </w:rPr>
        <w:t>городского поселения город Давлеканово муниципального района Давлекановский район Республики Башкортостан</w:t>
      </w:r>
    </w:p>
    <w:p w14:paraId="0EC4147A" w14:textId="77777777" w:rsidR="0055440C" w:rsidRDefault="0055440C">
      <w:pPr>
        <w:spacing w:after="0" w:line="240" w:lineRule="auto"/>
        <w:jc w:val="center"/>
        <w:rPr>
          <w:b/>
        </w:rPr>
      </w:pPr>
    </w:p>
    <w:p w14:paraId="1352468B" w14:textId="77777777" w:rsidR="0055440C" w:rsidRDefault="005B77E7">
      <w:pPr>
        <w:spacing w:after="0" w:line="240" w:lineRule="auto"/>
        <w:jc w:val="center"/>
        <w:rPr>
          <w:b/>
        </w:rPr>
      </w:pPr>
      <w:r>
        <w:rPr>
          <w:b/>
        </w:rPr>
        <w:t>ПОСТАНОВЛЕНИЕ</w:t>
      </w:r>
    </w:p>
    <w:p w14:paraId="5668FB24" w14:textId="1095EDDC" w:rsidR="0055440C" w:rsidRDefault="00A15DF1">
      <w:pPr>
        <w:spacing w:after="0" w:line="240" w:lineRule="auto"/>
        <w:jc w:val="center"/>
        <w:rPr>
          <w:b/>
        </w:rPr>
      </w:pPr>
      <w:r>
        <w:rPr>
          <w:b/>
        </w:rPr>
        <w:t>25.05.2023 года № 152</w:t>
      </w:r>
    </w:p>
    <w:p w14:paraId="14777A35" w14:textId="77777777" w:rsidR="0055440C" w:rsidRDefault="0055440C">
      <w:pPr>
        <w:widowControl w:val="0"/>
        <w:autoSpaceDE w:val="0"/>
        <w:autoSpaceDN w:val="0"/>
        <w:adjustRightInd w:val="0"/>
        <w:spacing w:after="0" w:line="240" w:lineRule="auto"/>
        <w:jc w:val="center"/>
        <w:rPr>
          <w:b/>
        </w:rPr>
      </w:pPr>
    </w:p>
    <w:p w14:paraId="58CBC22E" w14:textId="160B20D8" w:rsidR="002E3962" w:rsidRDefault="005B77E7" w:rsidP="002E3962">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2E3962">
        <w:rPr>
          <w:b/>
          <w:bCs/>
        </w:rPr>
        <w:t xml:space="preserve"> </w:t>
      </w:r>
      <w:r>
        <w:rPr>
          <w:b/>
          <w:bCs/>
        </w:rPr>
        <w:t xml:space="preserve">в </w:t>
      </w:r>
      <w:r w:rsidR="002E3962">
        <w:rPr>
          <w:b/>
          <w:bCs/>
        </w:rPr>
        <w:t xml:space="preserve">городском поселении город Давлеканово муниципального района Давлекановский район </w:t>
      </w:r>
    </w:p>
    <w:p w14:paraId="1BE556AD" w14:textId="77777777" w:rsidR="002E3962" w:rsidRPr="00F00EDA" w:rsidRDefault="002E3962" w:rsidP="002E3962">
      <w:pPr>
        <w:widowControl w:val="0"/>
        <w:autoSpaceDE w:val="0"/>
        <w:autoSpaceDN w:val="0"/>
        <w:adjustRightInd w:val="0"/>
        <w:spacing w:after="0" w:line="240" w:lineRule="auto"/>
        <w:jc w:val="center"/>
        <w:rPr>
          <w:b/>
          <w:bCs/>
        </w:rPr>
      </w:pPr>
      <w:r>
        <w:rPr>
          <w:b/>
          <w:bCs/>
        </w:rPr>
        <w:t>Республики Башкортостан</w:t>
      </w:r>
    </w:p>
    <w:p w14:paraId="5CF89111" w14:textId="0076634A" w:rsidR="0055440C" w:rsidRDefault="0055440C" w:rsidP="002E3962">
      <w:pPr>
        <w:widowControl w:val="0"/>
        <w:autoSpaceDE w:val="0"/>
        <w:autoSpaceDN w:val="0"/>
        <w:adjustRightInd w:val="0"/>
        <w:spacing w:after="0" w:line="240" w:lineRule="auto"/>
        <w:jc w:val="center"/>
        <w:rPr>
          <w:b/>
        </w:rPr>
      </w:pPr>
    </w:p>
    <w:p w14:paraId="11327E13" w14:textId="69A4A362" w:rsidR="0055440C" w:rsidRDefault="005B77E7" w:rsidP="002E3962">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E3962" w:rsidRPr="00C46ADE">
        <w:t>городского поселения город Давлеканово муниципального района Давлекановский район Республики Башкортостан</w:t>
      </w:r>
      <w:r w:rsidR="002E3962">
        <w:t>.</w:t>
      </w:r>
    </w:p>
    <w:p w14:paraId="591B640F" w14:textId="77777777" w:rsidR="0055440C" w:rsidRDefault="005B77E7">
      <w:pPr>
        <w:pStyle w:val="33"/>
        <w:ind w:firstLine="709"/>
        <w:rPr>
          <w:szCs w:val="28"/>
        </w:rPr>
      </w:pPr>
      <w:r>
        <w:rPr>
          <w:szCs w:val="28"/>
        </w:rPr>
        <w:t>ПОСТАНОВЛЯЕТ:</w:t>
      </w:r>
    </w:p>
    <w:p w14:paraId="0ADA8665" w14:textId="77777777" w:rsidR="0055440C" w:rsidRDefault="005B77E7">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p>
    <w:p w14:paraId="227630CD" w14:textId="10DA73FD" w:rsidR="002E3962" w:rsidRDefault="005B77E7" w:rsidP="002E3962">
      <w:pPr>
        <w:widowControl w:val="0"/>
        <w:tabs>
          <w:tab w:val="left" w:pos="567"/>
        </w:tabs>
        <w:spacing w:after="0" w:line="240" w:lineRule="auto"/>
        <w:contextualSpacing/>
        <w:jc w:val="both"/>
        <w:rPr>
          <w:bCs/>
          <w:sz w:val="20"/>
          <w:szCs w:val="20"/>
        </w:rPr>
      </w:pPr>
      <w:r>
        <w:rPr>
          <w:bCs/>
        </w:rPr>
        <w:t xml:space="preserve">в </w:t>
      </w:r>
      <w:r w:rsidR="002E3962" w:rsidRPr="00C46ADE">
        <w:t>городского поселения город Давлеканово муниципального района Давлекановский район Республики Башкортостан</w:t>
      </w:r>
      <w:r w:rsidR="002E3962">
        <w:t>.</w:t>
      </w:r>
      <w:r w:rsidR="002E3962">
        <w:rPr>
          <w:bCs/>
        </w:rPr>
        <w:t xml:space="preserve"> </w:t>
      </w:r>
      <w:r w:rsidR="002E3962" w:rsidRPr="00F00EDA">
        <w:rPr>
          <w:bCs/>
        </w:rPr>
        <w:t xml:space="preserve"> </w:t>
      </w:r>
    </w:p>
    <w:p w14:paraId="0EAE21FA" w14:textId="089FD6B4"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w:t>
      </w:r>
      <w:r w:rsidR="00561C64">
        <w:t>о опубликования (обнародования).</w:t>
      </w:r>
    </w:p>
    <w:p w14:paraId="3A8F7E70" w14:textId="03CED0A2" w:rsidR="00561C64" w:rsidRPr="00561C64" w:rsidRDefault="005B77E7" w:rsidP="00561C64">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Настоящее постановление опубликовать</w:t>
      </w:r>
      <w:r w:rsidR="00561C64" w:rsidRPr="00561C64">
        <w:rPr>
          <w:rFonts w:eastAsia="Times New Roman"/>
          <w:lang w:eastAsia="ru-RU"/>
        </w:rPr>
        <w:t xml:space="preserve"> </w:t>
      </w:r>
      <w:r w:rsidR="00561C64">
        <w:rPr>
          <w:rFonts w:eastAsia="Times New Roman"/>
          <w:lang w:eastAsia="ru-RU"/>
        </w:rPr>
        <w:t>на</w:t>
      </w:r>
      <w:r w:rsidR="00561C64" w:rsidRPr="005219EC">
        <w:rPr>
          <w:rFonts w:eastAsia="Times New Roman"/>
          <w:lang w:eastAsia="ru-RU"/>
        </w:rPr>
        <w:t xml:space="preserve"> </w:t>
      </w:r>
      <w:r w:rsidR="00561C64" w:rsidRPr="005F184B">
        <w:t xml:space="preserve">официальном сайте: </w:t>
      </w:r>
      <w:r w:rsidR="00561C64" w:rsidRPr="005F184B">
        <w:rPr>
          <w:shd w:val="clear" w:color="auto" w:fill="FFFFFF"/>
        </w:rPr>
        <w:t>http://sovet-davlekanovo.ru</w:t>
      </w:r>
      <w:r w:rsidR="00561C64" w:rsidRPr="005F184B">
        <w:t>.</w:t>
      </w:r>
      <w:r w:rsidR="00561C64" w:rsidRPr="005F184B">
        <w:rPr>
          <w:rFonts w:eastAsia="Times New Roman"/>
          <w:lang w:eastAsia="ru-RU"/>
        </w:rPr>
        <w:t xml:space="preserve">  </w:t>
      </w:r>
    </w:p>
    <w:p w14:paraId="7FCE387C" w14:textId="1C9EFD83" w:rsidR="00561C64" w:rsidRDefault="00561C64" w:rsidP="00561C64">
      <w:pPr>
        <w:spacing w:after="0" w:line="240" w:lineRule="auto"/>
        <w:ind w:firstLine="708"/>
      </w:pPr>
      <w:r>
        <w:t>4.Постановление №364 от 15.11.2021 года, признать утратившим силу.</w:t>
      </w:r>
    </w:p>
    <w:p w14:paraId="2559EF59" w14:textId="3097337B" w:rsidR="00561C64" w:rsidRDefault="00561C64" w:rsidP="00561C64">
      <w:pPr>
        <w:spacing w:after="0" w:line="240" w:lineRule="auto"/>
        <w:ind w:firstLine="708"/>
      </w:pPr>
      <w:r>
        <w:t xml:space="preserve">5.Контроль за исполнением настоящего постановления возложить </w:t>
      </w:r>
    </w:p>
    <w:p w14:paraId="063FFE61" w14:textId="77777777" w:rsidR="00561C64" w:rsidRDefault="00561C64" w:rsidP="00561C64">
      <w:pPr>
        <w:spacing w:after="0" w:line="240" w:lineRule="auto"/>
      </w:pPr>
      <w:r>
        <w:t>на заместителя главы администрации Д.Ю.Биктимирова.</w:t>
      </w:r>
    </w:p>
    <w:p w14:paraId="52179E7B" w14:textId="77777777" w:rsidR="00561C64" w:rsidRDefault="00561C64" w:rsidP="00561C64">
      <w:pPr>
        <w:spacing w:after="0" w:line="240" w:lineRule="auto"/>
      </w:pPr>
    </w:p>
    <w:p w14:paraId="6F27C200" w14:textId="0A12D0BC" w:rsidR="00561C64" w:rsidRDefault="00561C64" w:rsidP="00561C64">
      <w:pPr>
        <w:spacing w:after="0" w:line="240" w:lineRule="auto"/>
      </w:pPr>
      <w:r>
        <w:t xml:space="preserve">Глава администрации                                      </w:t>
      </w:r>
      <w:r w:rsidR="00803AA2">
        <w:t xml:space="preserve">     </w:t>
      </w:r>
      <w:r>
        <w:t xml:space="preserve">                           В.В.Гапоненко</w:t>
      </w:r>
    </w:p>
    <w:p w14:paraId="3BF83512" w14:textId="77777777" w:rsidR="0055440C" w:rsidRDefault="0055440C">
      <w:pPr>
        <w:spacing w:after="0" w:line="240" w:lineRule="auto"/>
      </w:pPr>
    </w:p>
    <w:p w14:paraId="2E78BD0D" w14:textId="77777777" w:rsidR="0055440C" w:rsidRDefault="0055440C">
      <w:pPr>
        <w:spacing w:after="0" w:line="240" w:lineRule="auto"/>
        <w:sectPr w:rsidR="0055440C">
          <w:headerReference w:type="default" r:id="rId9"/>
          <w:pgSz w:w="11905" w:h="16838"/>
          <w:pgMar w:top="1134" w:right="567" w:bottom="568" w:left="1701" w:header="284" w:footer="0" w:gutter="0"/>
          <w:pgNumType w:start="1"/>
          <w:cols w:space="720"/>
          <w:titlePg/>
          <w:docGrid w:linePitch="381"/>
        </w:sectPr>
      </w:pPr>
    </w:p>
    <w:p w14:paraId="1C4E42EC" w14:textId="77777777" w:rsidR="00DC5E1A" w:rsidRPr="00B16F5E" w:rsidRDefault="00DC5E1A" w:rsidP="00DC5E1A">
      <w:pPr>
        <w:tabs>
          <w:tab w:val="left" w:pos="7425"/>
        </w:tabs>
        <w:spacing w:after="0" w:line="240" w:lineRule="auto"/>
        <w:ind w:firstLine="851"/>
        <w:jc w:val="right"/>
        <w:rPr>
          <w:b/>
        </w:rPr>
      </w:pPr>
      <w:r w:rsidRPr="00B16F5E">
        <w:rPr>
          <w:b/>
        </w:rPr>
        <w:lastRenderedPageBreak/>
        <w:t>Утвержден</w:t>
      </w:r>
    </w:p>
    <w:p w14:paraId="016A073E" w14:textId="77777777" w:rsidR="00DC5E1A" w:rsidRPr="00B16F5E" w:rsidRDefault="00DC5E1A" w:rsidP="00DC5E1A">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14:paraId="5BA48F24" w14:textId="77777777" w:rsidR="00DC5E1A" w:rsidRDefault="00DC5E1A" w:rsidP="00DC5E1A">
      <w:pPr>
        <w:widowControl w:val="0"/>
        <w:autoSpaceDE w:val="0"/>
        <w:autoSpaceDN w:val="0"/>
        <w:adjustRightInd w:val="0"/>
        <w:spacing w:after="0" w:line="240" w:lineRule="auto"/>
        <w:ind w:firstLine="851"/>
        <w:jc w:val="right"/>
        <w:rPr>
          <w:b/>
        </w:rPr>
      </w:pPr>
      <w:r>
        <w:rPr>
          <w:b/>
        </w:rPr>
        <w:t xml:space="preserve">городского поселения город </w:t>
      </w:r>
    </w:p>
    <w:p w14:paraId="53144C11" w14:textId="77777777" w:rsidR="00DC5E1A" w:rsidRDefault="00DC5E1A" w:rsidP="00DC5E1A">
      <w:pPr>
        <w:widowControl w:val="0"/>
        <w:autoSpaceDE w:val="0"/>
        <w:autoSpaceDN w:val="0"/>
        <w:adjustRightInd w:val="0"/>
        <w:spacing w:after="0" w:line="240" w:lineRule="auto"/>
        <w:ind w:firstLine="851"/>
        <w:jc w:val="right"/>
        <w:rPr>
          <w:b/>
        </w:rPr>
      </w:pPr>
      <w:r>
        <w:rPr>
          <w:b/>
        </w:rPr>
        <w:t>Давлеканово</w:t>
      </w:r>
      <w:r w:rsidRPr="00B16F5E">
        <w:rPr>
          <w:b/>
        </w:rPr>
        <w:t xml:space="preserve"> </w:t>
      </w:r>
    </w:p>
    <w:p w14:paraId="4CD9ADAF" w14:textId="796BA9D3" w:rsidR="0055440C" w:rsidRDefault="00A15DF1">
      <w:pPr>
        <w:widowControl w:val="0"/>
        <w:autoSpaceDE w:val="0"/>
        <w:autoSpaceDN w:val="0"/>
        <w:adjustRightInd w:val="0"/>
        <w:spacing w:after="0" w:line="240" w:lineRule="auto"/>
        <w:ind w:firstLine="851"/>
        <w:jc w:val="right"/>
        <w:rPr>
          <w:b/>
        </w:rPr>
      </w:pPr>
      <w:r>
        <w:rPr>
          <w:b/>
        </w:rPr>
        <w:t>от 25.05.2023 года №152</w:t>
      </w:r>
      <w:bookmarkStart w:id="0" w:name="_GoBack"/>
      <w:bookmarkEnd w:id="0"/>
    </w:p>
    <w:p w14:paraId="55E8EF2F" w14:textId="77777777" w:rsidR="0055440C" w:rsidRDefault="0055440C">
      <w:pPr>
        <w:widowControl w:val="0"/>
        <w:spacing w:after="0" w:line="240" w:lineRule="auto"/>
        <w:ind w:firstLine="567"/>
        <w:contextualSpacing/>
        <w:jc w:val="center"/>
        <w:rPr>
          <w:b/>
        </w:rPr>
      </w:pPr>
    </w:p>
    <w:p w14:paraId="5BD9CDF4" w14:textId="77777777" w:rsidR="00DC5E1A" w:rsidRDefault="005B77E7" w:rsidP="00DC5E1A">
      <w:pPr>
        <w:widowControl w:val="0"/>
        <w:autoSpaceDE w:val="0"/>
        <w:autoSpaceDN w:val="0"/>
        <w:adjustRightInd w:val="0"/>
        <w:spacing w:after="0" w:line="240" w:lineRule="auto"/>
        <w:jc w:val="center"/>
        <w:rPr>
          <w:b/>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DC5E1A">
        <w:rPr>
          <w:b/>
        </w:rPr>
        <w:t>городском поселении город Давлеканово муниципального района Давлекановский район</w:t>
      </w:r>
    </w:p>
    <w:p w14:paraId="49D2412C" w14:textId="4DBEF59D" w:rsidR="0055440C" w:rsidRDefault="00DC5E1A" w:rsidP="00DC5E1A">
      <w:pPr>
        <w:widowControl w:val="0"/>
        <w:autoSpaceDE w:val="0"/>
        <w:autoSpaceDN w:val="0"/>
        <w:adjustRightInd w:val="0"/>
        <w:spacing w:after="0" w:line="240" w:lineRule="auto"/>
        <w:jc w:val="center"/>
        <w:rPr>
          <w:b/>
          <w:bCs/>
        </w:rPr>
      </w:pPr>
      <w:r>
        <w:rPr>
          <w:b/>
        </w:rPr>
        <w:t xml:space="preserve">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40957757" w:rsidR="0055440C" w:rsidRDefault="005B77E7" w:rsidP="003739FD">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3739FD" w:rsidRPr="000806A2">
        <w:t>городском поселении город Давлеканово муниципального района Давлекановский район Республики Башкортостан</w:t>
      </w:r>
      <w:r w:rsidR="003739FD" w:rsidRPr="00D6690C">
        <w:t xml:space="preserve"> </w:t>
      </w: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57930E1A" w:rsidR="0055440C" w:rsidRDefault="005B77E7" w:rsidP="003739FD">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3739FD" w:rsidRPr="000806A2">
        <w:t>городско</w:t>
      </w:r>
      <w:r w:rsidR="003739FD">
        <w:t>го поселения</w:t>
      </w:r>
      <w:r w:rsidR="003739FD" w:rsidRPr="000806A2">
        <w:t xml:space="preserve"> город Давлеканово муниципального района Давлекановский район Республики Башкортостан</w:t>
      </w:r>
      <w:r w:rsidR="003739FD" w:rsidRPr="00D6690C">
        <w:t xml:space="preserve"> </w:t>
      </w:r>
      <w:r>
        <w:t xml:space="preserve">(далее – Администрация, Уполномоченный орган) или многофункциональном центре предоставления </w:t>
      </w:r>
      <w:r>
        <w:lastRenderedPageBreak/>
        <w:t xml:space="preserve">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B81E1C7"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hyperlink r:id="rId10" w:history="1">
        <w:r w:rsidR="003739FD" w:rsidRPr="000D253E">
          <w:rPr>
            <w:rStyle w:val="a7"/>
            <w:shd w:val="clear" w:color="auto" w:fill="FFFFFF"/>
          </w:rPr>
          <w:t>http://sovet-davlekanovo.ru</w:t>
        </w:r>
      </w:hyperlink>
      <w:r w:rsidR="003739FD" w:rsidRPr="00150463">
        <w:t>.</w:t>
      </w:r>
      <w:r w:rsidR="003739FD">
        <w:t xml:space="preserve"> (раздел Поселения);</w:t>
      </w:r>
    </w:p>
    <w:p w14:paraId="05735B0D" w14:textId="58643DD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lastRenderedPageBreak/>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7F8020AD"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7832E340"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14:paraId="71E800E2" w14:textId="77777777" w:rsidR="00A66143" w:rsidRDefault="002301C8" w:rsidP="00A66143">
      <w:pPr>
        <w:pStyle w:val="af9"/>
        <w:spacing w:after="0" w:line="240" w:lineRule="auto"/>
        <w:ind w:left="0" w:firstLine="709"/>
        <w:jc w:val="both"/>
      </w:pPr>
      <w:r>
        <w:t xml:space="preserve">информационных стендах Администрации (Уполномоченного органа);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77777777"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14C770B1" w14:textId="77777777" w:rsidR="003739FD" w:rsidRPr="003739FD" w:rsidRDefault="005B77E7" w:rsidP="003739FD">
      <w:pPr>
        <w:pStyle w:val="af9"/>
        <w:numPr>
          <w:ilvl w:val="1"/>
          <w:numId w:val="9"/>
        </w:numPr>
        <w:autoSpaceDE w:val="0"/>
        <w:autoSpaceDN w:val="0"/>
        <w:adjustRightInd w:val="0"/>
        <w:spacing w:after="0" w:line="240" w:lineRule="auto"/>
        <w:ind w:left="0" w:firstLine="709"/>
        <w:jc w:val="both"/>
      </w:pPr>
      <w:r>
        <w:rPr>
          <w:rFonts w:eastAsia="Calibri"/>
        </w:rPr>
        <w:t xml:space="preserve">Муниципальная услуга предоставляется Администрацией </w:t>
      </w:r>
      <w:r w:rsidR="003739FD">
        <w:rPr>
          <w:rFonts w:eastAsia="Calibri"/>
        </w:rPr>
        <w:t>городского поселения город Давлеканово муниципального района Давлекановский район Республики Башкортостан</w:t>
      </w:r>
      <w:r w:rsidR="003739FD">
        <w:t xml:space="preserve"> </w:t>
      </w: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3739FD">
        <w:rPr>
          <w:rFonts w:eastAsia="Calibri"/>
        </w:rPr>
        <w:t>городского поселения город Давлеканово муниципального района Давлекановский район Республики Башкортостан.</w:t>
      </w:r>
      <w:r w:rsidR="003739FD" w:rsidRPr="005219EC">
        <w:rPr>
          <w:rFonts w:eastAsia="Calibri"/>
        </w:rPr>
        <w:t xml:space="preserve"> </w:t>
      </w:r>
      <w:r w:rsidR="003739FD">
        <w:rPr>
          <w:rFonts w:eastAsia="Calibri"/>
        </w:rPr>
        <w:t xml:space="preserve"> </w:t>
      </w:r>
    </w:p>
    <w:p w14:paraId="10F18AD3" w14:textId="423AF0D2" w:rsidR="0055440C" w:rsidRDefault="005B77E7" w:rsidP="003739FD">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3F70AAA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05078BA" w14:textId="77777777"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r>
      <w:r>
        <w:rPr>
          <w:bCs/>
        </w:rPr>
        <w:lastRenderedPageBreak/>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3F21FA7A"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w:t>
      </w:r>
      <w:r w:rsidR="0023665D">
        <w:rPr>
          <w:rFonts w:eastAsia="Calibri"/>
        </w:rPr>
        <w:lastRenderedPageBreak/>
        <w:t xml:space="preserve">(Уполномоченный орган) </w:t>
      </w:r>
      <w:r>
        <w:rPr>
          <w:bCs/>
        </w:rPr>
        <w:t>следующими способами:</w:t>
      </w:r>
    </w:p>
    <w:p w14:paraId="7324CF28" w14:textId="6F85392E"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3A37530F"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001303C2" w14:textId="00A65EA5"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lastRenderedPageBreak/>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3"/>
      </w:r>
      <w:r>
        <w:t>.</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r>
        <w:rPr>
          <w:rFonts w:ascii="Times New Roman" w:eastAsiaTheme="minorHAnsi" w:hAnsi="Times New Roman" w:cs="Times New Roman"/>
          <w:sz w:val="28"/>
          <w:szCs w:val="28"/>
          <w:lang w:eastAsia="en-US"/>
        </w:rPr>
        <w:lastRenderedPageBreak/>
        <w:t xml:space="preserve">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lastRenderedPageBreak/>
        <w:t xml:space="preserve">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приаэродромной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lastRenderedPageBreak/>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 xml:space="preserve">с помощью электронной системы управления очередью, при этом учитываются </w:t>
      </w:r>
      <w:r>
        <w:lastRenderedPageBreak/>
        <w:t>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41B8BED6"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 xml:space="preserve">Центральный вход в здание Администрации (Уполномоченного органа) </w:t>
      </w:r>
      <w:r>
        <w:lastRenderedPageBreak/>
        <w:t>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677DDC99"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lastRenderedPageBreak/>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64EF4791"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686BD366" w:rsidR="0055440C" w:rsidRDefault="005B77E7" w:rsidP="003E6504">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w:t>
      </w:r>
      <w:r>
        <w:lastRenderedPageBreak/>
        <w:t xml:space="preserve">(использование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55948B4C"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6E86B0E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r>
      <w:r>
        <w:rPr>
          <w:bCs/>
        </w:rPr>
        <w:lastRenderedPageBreak/>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77777777"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DB2562"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lastRenderedPageBreak/>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lastRenderedPageBreak/>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3DD30DD5"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DB2562">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r>
      <w:r w:rsidR="005B77E7">
        <w:lastRenderedPageBreak/>
        <w:t>и действия (бездействие) органов местного самоуправления и их должностных лиц, муниципальных служащих);</w:t>
      </w:r>
    </w:p>
    <w:p w14:paraId="5FC84DC6" w14:textId="77777777" w:rsidR="0055440C" w:rsidRDefault="00DB2562">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lastRenderedPageBreak/>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lastRenderedPageBreak/>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w:t>
      </w:r>
      <w:r>
        <w:lastRenderedPageBreak/>
        <w:t>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 xml:space="preserve">и прилагаемых документов в форме электронного документа и (или) </w:t>
      </w:r>
      <w:r>
        <w:lastRenderedPageBreak/>
        <w:t>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73BD96A1" w14:textId="6101B78C" w:rsidR="0055440C" w:rsidRPr="00342101" w:rsidRDefault="005B77E7" w:rsidP="00342101">
      <w:pPr>
        <w:widowControl w:val="0"/>
        <w:tabs>
          <w:tab w:val="left" w:pos="567"/>
        </w:tabs>
        <w:spacing w:after="0" w:line="240" w:lineRule="auto"/>
        <w:ind w:firstLine="567"/>
        <w:contextualSpacing/>
        <w:jc w:val="center"/>
        <w:rPr>
          <w:b/>
        </w:rPr>
      </w:pPr>
      <w:r>
        <w:rPr>
          <w:b/>
        </w:rPr>
        <w:t>Заявление</w:t>
      </w: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lastRenderedPageBreak/>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967BEAC" w14:textId="16260883"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rPr>
          <w:sz w:val="26"/>
          <w:szCs w:val="26"/>
        </w:rPr>
        <w:t xml:space="preserve"> </w:t>
      </w:r>
      <w:r w:rsidR="005B77E7">
        <w:rPr>
          <w:sz w:val="26"/>
          <w:szCs w:val="26"/>
        </w:rPr>
        <w:t>От</w:t>
      </w:r>
      <w:r w:rsidR="005B77E7">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19" w:history="1">
              <w:r w:rsidR="00027D61">
                <w:rPr>
                  <w:rStyle w:val="a7"/>
                  <w:color w:val="000000"/>
                  <w:sz w:val="24"/>
                  <w:szCs w:val="24"/>
                  <w:u w:val="none"/>
                </w:rPr>
                <w:t>https://vis.bashkortostan.ru</w:t>
              </w:r>
            </w:hyperlink>
            <w:hyperlink r:id="rId20"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 xml:space="preserve">ответственного за предоставление муниципальной услуги, и передача ему </w:t>
            </w:r>
            <w:r>
              <w:rPr>
                <w:sz w:val="24"/>
                <w:szCs w:val="24"/>
              </w:rPr>
              <w:lastRenderedPageBreak/>
              <w:t>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предоставление муниципальной </w:t>
            </w:r>
            <w:r>
              <w:rPr>
                <w:sz w:val="24"/>
                <w:szCs w:val="24"/>
              </w:rPr>
              <w:lastRenderedPageBreak/>
              <w:t>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w:t>
            </w:r>
            <w:r w:rsidR="005B77E7">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9555" w14:textId="77777777" w:rsidR="00DB2562" w:rsidRDefault="00DB2562">
      <w:pPr>
        <w:spacing w:line="240" w:lineRule="auto"/>
      </w:pPr>
      <w:r>
        <w:separator/>
      </w:r>
    </w:p>
  </w:endnote>
  <w:endnote w:type="continuationSeparator" w:id="0">
    <w:p w14:paraId="419D38CB" w14:textId="77777777" w:rsidR="00DB2562" w:rsidRDefault="00D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6B6A" w14:textId="77777777" w:rsidR="00DB2562" w:rsidRDefault="00DB2562">
      <w:pPr>
        <w:spacing w:after="0"/>
      </w:pPr>
      <w:r>
        <w:separator/>
      </w:r>
    </w:p>
  </w:footnote>
  <w:footnote w:type="continuationSeparator" w:id="0">
    <w:p w14:paraId="67AF4872" w14:textId="77777777" w:rsidR="00DB2562" w:rsidRDefault="00DB2562">
      <w:pPr>
        <w:spacing w:after="0"/>
      </w:pPr>
      <w:r>
        <w:continuationSeparator/>
      </w:r>
    </w:p>
  </w:footnote>
  <w:footnote w:id="1">
    <w:p w14:paraId="3718DB7A" w14:textId="77777777" w:rsidR="003739FD" w:rsidRDefault="003739FD">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3739FD" w:rsidRDefault="003739FD">
      <w:pPr>
        <w:pStyle w:val="af1"/>
      </w:pPr>
      <w:r>
        <w:rPr>
          <w:rStyle w:val="a4"/>
        </w:rPr>
        <w:footnoteRef/>
      </w:r>
      <w:r>
        <w:t xml:space="preserve"> Часть 1.2 статьи 38 Градостроительного кодекса Российской Федерации</w:t>
      </w:r>
    </w:p>
    <w:p w14:paraId="12542997" w14:textId="77777777" w:rsidR="003739FD" w:rsidRDefault="003739FD">
      <w:pPr>
        <w:pStyle w:val="af1"/>
      </w:pPr>
    </w:p>
  </w:footnote>
  <w:footnote w:id="3">
    <w:p w14:paraId="041BF329" w14:textId="77777777" w:rsidR="003739FD" w:rsidRDefault="003739FD"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46418"/>
      <w:docPartObj>
        <w:docPartGallery w:val="Page Numbers (Top of Page)"/>
        <w:docPartUnique/>
      </w:docPartObj>
    </w:sdtPr>
    <w:sdtEndPr/>
    <w:sdtContent>
      <w:p w14:paraId="39111B6F" w14:textId="0E96C44A" w:rsidR="003739FD" w:rsidRDefault="003739FD" w:rsidP="00EE72FA">
        <w:pPr>
          <w:pStyle w:val="af3"/>
          <w:jc w:val="center"/>
        </w:pPr>
        <w:r>
          <w:fldChar w:fldCharType="begin"/>
        </w:r>
        <w:r>
          <w:instrText>PAGE   \* MERGEFORMAT</w:instrText>
        </w:r>
        <w:r>
          <w:fldChar w:fldCharType="separate"/>
        </w:r>
        <w:r w:rsidR="00A15DF1">
          <w:rPr>
            <w:noProof/>
          </w:rPr>
          <w:t>3</w:t>
        </w:r>
        <w:r>
          <w:fldChar w:fldCharType="end"/>
        </w:r>
      </w:p>
    </w:sdtContent>
  </w:sdt>
  <w:p w14:paraId="2AE441E8" w14:textId="77777777" w:rsidR="003739FD" w:rsidRDefault="003739FD">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CAB2" w14:textId="072F4564" w:rsidR="003739FD" w:rsidRDefault="003739FD">
    <w:pPr>
      <w:pStyle w:val="af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962"/>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101"/>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39FD"/>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1C64"/>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3AA2"/>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5DF1"/>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4878"/>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562"/>
    <w:rsid w:val="00DB26CB"/>
    <w:rsid w:val="00DB43E9"/>
    <w:rsid w:val="00DB514A"/>
    <w:rsid w:val="00DB67B4"/>
    <w:rsid w:val="00DC1452"/>
    <w:rsid w:val="00DC25A3"/>
    <w:rsid w:val="00DC2E9E"/>
    <w:rsid w:val="00DC39EF"/>
    <w:rsid w:val="00DC3FCA"/>
    <w:rsid w:val="00DC5AF8"/>
    <w:rsid w:val="00DC5E1A"/>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61691F74-09AB-45D2-B152-851653C2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yperlink" Target="http://sovet-davlekanovo.ru"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C6A96-C03E-4F62-9805-0496848E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19079</Words>
  <Characters>108751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13</cp:revision>
  <cp:lastPrinted>2023-05-05T08:31:00Z</cp:lastPrinted>
  <dcterms:created xsi:type="dcterms:W3CDTF">2023-05-03T12:09:00Z</dcterms:created>
  <dcterms:modified xsi:type="dcterms:W3CDTF">2023-05-26T11:12:00Z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