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right"/>
        <w:rPr>
          <w:rFonts w:ascii="Times New Roman" w:hAnsi="Times New Roman" w:cs="Times New Roman"/>
          <w:sz w:val="28"/>
          <w:szCs w:val="28"/>
        </w:rPr>
      </w:pPr>
      <w:r w:rsidRPr="00310FB8">
        <w:rPr>
          <w:rFonts w:ascii="Times New Roman" w:hAnsi="Times New Roman" w:cs="Times New Roman"/>
          <w:sz w:val="28"/>
          <w:szCs w:val="28"/>
        </w:rPr>
        <w:t xml:space="preserve">         ПРОЕКТ</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7F3D23">
        <w:rPr>
          <w:rFonts w:ascii="Times New Roman" w:hAnsi="Times New Roman" w:cs="Times New Roman"/>
          <w:sz w:val="28"/>
          <w:szCs w:val="28"/>
        </w:rPr>
        <w:t>Бик-Кармалинский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495A2E" w:rsidP="00310FB8">
      <w:pPr>
        <w:spacing w:after="0" w:line="240" w:lineRule="auto"/>
        <w:jc w:val="both"/>
        <w:rPr>
          <w:rFonts w:ascii="Times New Roman" w:eastAsia="Calibri" w:hAnsi="Times New Roman" w:cs="Times New Roman"/>
          <w:bCs/>
          <w:sz w:val="28"/>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7F3D23">
        <w:rPr>
          <w:szCs w:val="28"/>
        </w:rPr>
        <w:t>Бик-Кармалинский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7F3D23">
        <w:rPr>
          <w:szCs w:val="28"/>
        </w:rPr>
        <w:t>Бик-Кармалинский</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7F3D23">
        <w:rPr>
          <w:szCs w:val="28"/>
        </w:rPr>
        <w:t>Бик-Кармалинский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EF57C3" w:rsidRPr="00310FB8" w:rsidRDefault="00EF57C3" w:rsidP="00310FB8">
      <w:pPr>
        <w:pStyle w:val="a3"/>
        <w:ind w:firstLine="708"/>
        <w:jc w:val="both"/>
        <w:rPr>
          <w:szCs w:val="28"/>
        </w:rPr>
      </w:pPr>
    </w:p>
    <w:p w:rsidR="00EF57C3" w:rsidRPr="00310FB8" w:rsidRDefault="00EF57C3" w:rsidP="00310FB8">
      <w:pPr>
        <w:jc w:val="both"/>
        <w:rPr>
          <w:rFonts w:ascii="Times New Roman" w:hAnsi="Times New Roman" w:cs="Times New Roman"/>
          <w:sz w:val="28"/>
          <w:szCs w:val="28"/>
        </w:rPr>
      </w:pPr>
    </w:p>
    <w:p w:rsidR="007F3D23" w:rsidRDefault="00EF57C3" w:rsidP="007F3D23">
      <w:pPr>
        <w:widowControl w:val="0"/>
        <w:shd w:val="clear" w:color="auto" w:fill="FFFFFF"/>
        <w:tabs>
          <w:tab w:val="left" w:pos="787"/>
        </w:tabs>
        <w:autoSpaceDE w:val="0"/>
        <w:autoSpaceDN w:val="0"/>
        <w:adjustRightInd w:val="0"/>
        <w:spacing w:after="0" w:line="240" w:lineRule="exact"/>
        <w:jc w:val="both"/>
        <w:rPr>
          <w:rFonts w:ascii="Times New Roman" w:eastAsia="Times New Roman" w:hAnsi="Times New Roman" w:cs="Times New Roman"/>
          <w:color w:val="000000"/>
          <w:spacing w:val="-5"/>
          <w:sz w:val="28"/>
          <w:szCs w:val="28"/>
          <w:lang w:eastAsia="ru-RU"/>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7F3D23" w:rsidP="00310FB8">
      <w:pPr>
        <w:jc w:val="both"/>
        <w:rPr>
          <w:rFonts w:ascii="Times New Roman" w:hAnsi="Times New Roman" w:cs="Times New Roman"/>
          <w:sz w:val="28"/>
          <w:szCs w:val="28"/>
        </w:rPr>
      </w:pPr>
      <w:r>
        <w:rPr>
          <w:rFonts w:ascii="Times New Roman" w:hAnsi="Times New Roman" w:cs="Times New Roman"/>
          <w:sz w:val="28"/>
          <w:szCs w:val="28"/>
        </w:rPr>
        <w:t xml:space="preserve">Бик-Кармалинский сельсовет                                                      </w:t>
      </w:r>
      <w:proofErr w:type="spellStart"/>
      <w:r>
        <w:rPr>
          <w:rFonts w:ascii="Times New Roman" w:hAnsi="Times New Roman" w:cs="Times New Roman"/>
          <w:sz w:val="28"/>
          <w:szCs w:val="28"/>
        </w:rPr>
        <w:t>О.Р.Лукманов</w:t>
      </w:r>
      <w:proofErr w:type="spellEnd"/>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Pr>
          <w:rFonts w:ascii="Times New Roman" w:eastAsia="Times New Roman" w:hAnsi="Times New Roman" w:cs="Times New Roman"/>
          <w:sz w:val="24"/>
          <w:szCs w:val="24"/>
          <w:lang w:eastAsia="ru-RU"/>
        </w:rPr>
        <w:t>П</w:t>
      </w:r>
      <w:r w:rsidRPr="00791F62">
        <w:rPr>
          <w:rFonts w:ascii="Times New Roman" w:hAnsi="Times New Roman" w:cs="Times New Roman"/>
          <w:sz w:val="20"/>
          <w:szCs w:val="20"/>
        </w:rPr>
        <w:t>риложение</w:t>
      </w:r>
    </w:p>
    <w:p w:rsidR="00310FB8" w:rsidRPr="00791F62" w:rsidRDefault="00310FB8" w:rsidP="00310FB8">
      <w:pPr>
        <w:autoSpaceDE w:val="0"/>
        <w:autoSpaceDN w:val="0"/>
        <w:adjustRightInd w:val="0"/>
        <w:spacing w:after="0"/>
        <w:ind w:left="5387"/>
        <w:outlineLvl w:val="0"/>
        <w:rPr>
          <w:rFonts w:ascii="Times New Roman" w:hAnsi="Times New Roman" w:cs="Times New Roman"/>
          <w:sz w:val="20"/>
          <w:szCs w:val="20"/>
        </w:rPr>
      </w:pPr>
      <w:r w:rsidRPr="00791F62">
        <w:rPr>
          <w:rFonts w:ascii="Times New Roman" w:hAnsi="Times New Roman" w:cs="Times New Roman"/>
          <w:sz w:val="20"/>
          <w:szCs w:val="20"/>
        </w:rPr>
        <w:t xml:space="preserve">к Постановлению администрации сельского поселения </w:t>
      </w:r>
      <w:r w:rsidR="007F3D23">
        <w:rPr>
          <w:rFonts w:ascii="Times New Roman" w:hAnsi="Times New Roman" w:cs="Times New Roman"/>
          <w:sz w:val="20"/>
          <w:szCs w:val="20"/>
        </w:rPr>
        <w:t>Бик-Кармалинский</w:t>
      </w:r>
      <w:r w:rsidRPr="00791F62">
        <w:rPr>
          <w:rFonts w:ascii="Times New Roman" w:hAnsi="Times New Roman" w:cs="Times New Roman"/>
          <w:sz w:val="20"/>
          <w:szCs w:val="20"/>
        </w:rPr>
        <w:t xml:space="preserve">  сельсовет муниципального района Давлекановский район Республики Башкортостан</w:t>
      </w:r>
    </w:p>
    <w:p w:rsidR="00310FB8" w:rsidRPr="00791F62" w:rsidRDefault="00310FB8" w:rsidP="00310FB8">
      <w:pPr>
        <w:autoSpaceDE w:val="0"/>
        <w:autoSpaceDN w:val="0"/>
        <w:adjustRightInd w:val="0"/>
        <w:spacing w:after="0"/>
        <w:ind w:left="5387"/>
        <w:rPr>
          <w:rFonts w:ascii="Times New Roman" w:hAnsi="Times New Roman" w:cs="Times New Roman"/>
          <w:sz w:val="20"/>
          <w:szCs w:val="20"/>
        </w:rPr>
      </w:pPr>
      <w:r w:rsidRPr="00791F62">
        <w:rPr>
          <w:rFonts w:ascii="Times New Roman" w:hAnsi="Times New Roman" w:cs="Times New Roman"/>
          <w:sz w:val="20"/>
          <w:szCs w:val="20"/>
        </w:rPr>
        <w:t>от «___» ___________ 2022 г. N ___</w:t>
      </w:r>
    </w:p>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7F3D23">
        <w:rPr>
          <w:sz w:val="24"/>
          <w:szCs w:val="24"/>
        </w:rPr>
        <w:t>Бик-Кармалинский</w:t>
      </w:r>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0F4CCF">
        <w:rPr>
          <w:sz w:val="24"/>
          <w:szCs w:val="24"/>
        </w:rPr>
        <w:t xml:space="preserve"> </w:t>
      </w:r>
      <w:bookmarkStart w:id="0" w:name="_GoBack"/>
      <w:bookmarkEnd w:id="0"/>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7F3D23" w:rsidRPr="007F3D23">
        <w:rPr>
          <w:rFonts w:ascii="Times New Roman" w:hAnsi="Times New Roman" w:cs="Times New Roman"/>
          <w:sz w:val="24"/>
          <w:szCs w:val="24"/>
        </w:rPr>
        <w:t>Бик-Кармалинский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w:t>
      </w:r>
      <w:r w:rsidRPr="00310FB8">
        <w:rPr>
          <w:rFonts w:ascii="Times New Roman" w:eastAsia="Times New Roman" w:hAnsi="Times New Roman" w:cs="Times New Roman"/>
          <w:sz w:val="24"/>
          <w:szCs w:val="24"/>
          <w:lang w:eastAsia="ru-RU"/>
        </w:rPr>
        <w:lastRenderedPageBreak/>
        <w:t>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7F3D23" w:rsidRPr="007F3D23">
        <w:rPr>
          <w:rFonts w:ascii="Times New Roman" w:hAnsi="Times New Roman" w:cs="Times New Roman"/>
          <w:sz w:val="20"/>
          <w:szCs w:val="20"/>
        </w:rPr>
        <w:t>Бик-Кармалинский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7F3D23" w:rsidRPr="007F3D23">
        <w:rPr>
          <w:rFonts w:ascii="Times New Roman" w:hAnsi="Times New Roman" w:cs="Times New Roman"/>
          <w:sz w:val="24"/>
          <w:szCs w:val="24"/>
        </w:rPr>
        <w:t>Бик-Кармалинский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r w:rsidR="007F3D23">
              <w:rPr>
                <w:rFonts w:ascii="Times New Roman" w:eastAsia="Times New Roman" w:hAnsi="Times New Roman" w:cs="Times New Roman"/>
                <w:sz w:val="20"/>
                <w:szCs w:val="20"/>
                <w:lang w:eastAsia="ru-RU"/>
              </w:rPr>
              <w:t xml:space="preserve">Давлекановский </w:t>
            </w:r>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w:t>
            </w:r>
            <w:proofErr w:type="gramStart"/>
            <w:r w:rsidRPr="00310FB8">
              <w:rPr>
                <w:rFonts w:ascii="Times New Roman" w:eastAsia="Times New Roman" w:hAnsi="Times New Roman" w:cs="Times New Roman"/>
                <w:sz w:val="20"/>
                <w:szCs w:val="20"/>
                <w:lang w:eastAsia="ru-RU"/>
              </w:rPr>
              <w:t>утвержденной</w:t>
            </w:r>
            <w:proofErr w:type="gramEnd"/>
            <w:r w:rsidRPr="00310FB8">
              <w:rPr>
                <w:rFonts w:ascii="Times New Roman" w:eastAsia="Times New Roman" w:hAnsi="Times New Roman" w:cs="Times New Roman"/>
                <w:sz w:val="20"/>
                <w:szCs w:val="20"/>
                <w:lang w:eastAsia="ru-RU"/>
              </w:rPr>
              <w:t xml:space="preserve">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7F3D23">
        <w:rPr>
          <w:rFonts w:ascii="Times New Roman" w:eastAsia="Times New Roman" w:hAnsi="Times New Roman" w:cs="Times New Roman"/>
          <w:sz w:val="20"/>
          <w:szCs w:val="20"/>
          <w:lang w:eastAsia="ru-RU"/>
        </w:rPr>
        <w:t xml:space="preserve">Бик-Кармалинский </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310FB8">
              <w:rPr>
                <w:rFonts w:ascii="Times New Roman" w:eastAsia="Times New Roman" w:hAnsi="Times New Roman" w:cs="Times New Roman"/>
                <w:sz w:val="16"/>
                <w:szCs w:val="16"/>
                <w:lang w:eastAsia="ru-RU"/>
              </w:rPr>
              <w:t>ств дл</w:t>
            </w:r>
            <w:proofErr w:type="gramEnd"/>
            <w:r w:rsidRPr="00310FB8">
              <w:rPr>
                <w:rFonts w:ascii="Times New Roman" w:eastAsia="Times New Roman" w:hAnsi="Times New Roman" w:cs="Times New Roman"/>
                <w:sz w:val="16"/>
                <w:szCs w:val="16"/>
                <w:lang w:eastAsia="ru-RU"/>
              </w:rPr>
              <w:t>я автоматической обработки данных: запоминающие устройства, устройства ввода, устройства вывода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w:t>
            </w:r>
            <w:r w:rsidRPr="00310FB8">
              <w:rPr>
                <w:rFonts w:ascii="Times New Roman" w:eastAsia="Times New Roman" w:hAnsi="Times New Roman" w:cs="Times New Roman"/>
                <w:sz w:val="16"/>
                <w:szCs w:val="16"/>
                <w:lang w:eastAsia="ru-RU"/>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w:t>
            </w:r>
            <w:r w:rsidRPr="00310FB8">
              <w:rPr>
                <w:rFonts w:ascii="Times New Roman" w:eastAsia="Times New Roman" w:hAnsi="Times New Roman" w:cs="Times New Roman"/>
                <w:sz w:val="16"/>
                <w:szCs w:val="16"/>
                <w:lang w:eastAsia="ru-RU"/>
              </w:rPr>
              <w:lastRenderedPageBreak/>
              <w:t xml:space="preserve">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w:t>
            </w:r>
            <w:r w:rsidRPr="00310FB8">
              <w:rPr>
                <w:rFonts w:ascii="Times New Roman" w:eastAsia="Times New Roman" w:hAnsi="Times New Roman" w:cs="Times New Roman"/>
                <w:sz w:val="16"/>
                <w:szCs w:val="16"/>
                <w:lang w:eastAsia="ru-RU"/>
              </w:rPr>
              <w:lastRenderedPageBreak/>
              <w:t xml:space="preserve">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310FB8">
          <w:pgSz w:w="16838" w:h="11906" w:orient="landscape"/>
          <w:pgMar w:top="851" w:right="1134" w:bottom="851"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0F4CCF"/>
    <w:rsid w:val="002F07F9"/>
    <w:rsid w:val="00310FB8"/>
    <w:rsid w:val="00390BB1"/>
    <w:rsid w:val="00495A2E"/>
    <w:rsid w:val="00554D63"/>
    <w:rsid w:val="007F3D23"/>
    <w:rsid w:val="00812ED3"/>
    <w:rsid w:val="0086705A"/>
    <w:rsid w:val="00A12651"/>
    <w:rsid w:val="00A4209D"/>
    <w:rsid w:val="00DE08CB"/>
    <w:rsid w:val="00E92C76"/>
    <w:rsid w:val="00EF57C3"/>
    <w:rsid w:val="00F83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3183</Words>
  <Characters>18146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2019-10-15T09:28:00Z</cp:lastPrinted>
  <dcterms:created xsi:type="dcterms:W3CDTF">2022-03-31T11:50:00Z</dcterms:created>
  <dcterms:modified xsi:type="dcterms:W3CDTF">2022-04-05T07:23:00Z</dcterms:modified>
</cp:coreProperties>
</file>