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29" w:rsidRPr="00624794" w:rsidRDefault="00C61C3E" w:rsidP="00D36729">
      <w:pPr>
        <w:spacing w:after="0" w:line="240" w:lineRule="auto"/>
        <w:jc w:val="center"/>
        <w:rPr>
          <w:rFonts w:ascii="Times New Roman" w:hAnsi="Times New Roman"/>
          <w:sz w:val="28"/>
          <w:szCs w:val="28"/>
        </w:rPr>
      </w:pPr>
      <w:r>
        <w:rPr>
          <w:rFonts w:ascii="Times New Roman" w:hAnsi="Times New Roman"/>
          <w:sz w:val="28"/>
          <w:szCs w:val="28"/>
        </w:rPr>
        <w:t>А</w:t>
      </w:r>
      <w:r w:rsidR="00D36729" w:rsidRPr="00624794">
        <w:rPr>
          <w:rFonts w:ascii="Times New Roman" w:hAnsi="Times New Roman"/>
          <w:sz w:val="28"/>
          <w:szCs w:val="28"/>
        </w:rPr>
        <w:t xml:space="preserve">дминистрации сельского поселения </w:t>
      </w:r>
      <w:proofErr w:type="spellStart"/>
      <w:r>
        <w:rPr>
          <w:rFonts w:ascii="Times New Roman" w:hAnsi="Times New Roman"/>
          <w:sz w:val="28"/>
          <w:szCs w:val="28"/>
        </w:rPr>
        <w:t>Казангуловский</w:t>
      </w:r>
      <w:proofErr w:type="spellEnd"/>
      <w:r>
        <w:rPr>
          <w:rFonts w:ascii="Times New Roman" w:hAnsi="Times New Roman"/>
          <w:sz w:val="28"/>
          <w:szCs w:val="28"/>
        </w:rPr>
        <w:t xml:space="preserve"> </w:t>
      </w:r>
      <w:r w:rsidR="00D36729" w:rsidRPr="00624794">
        <w:rPr>
          <w:rFonts w:ascii="Times New Roman" w:hAnsi="Times New Roman"/>
          <w:sz w:val="28"/>
          <w:szCs w:val="28"/>
        </w:rPr>
        <w:t xml:space="preserve">сельсовет </w:t>
      </w:r>
    </w:p>
    <w:p w:rsidR="00D36729"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 xml:space="preserve">муниципального района </w:t>
      </w:r>
      <w:proofErr w:type="spellStart"/>
      <w:r w:rsidRPr="00624794">
        <w:rPr>
          <w:rFonts w:ascii="Times New Roman" w:hAnsi="Times New Roman"/>
          <w:sz w:val="28"/>
          <w:szCs w:val="28"/>
        </w:rPr>
        <w:t>Давлекановский</w:t>
      </w:r>
      <w:proofErr w:type="spellEnd"/>
      <w:r w:rsidRPr="00624794">
        <w:rPr>
          <w:rFonts w:ascii="Times New Roman" w:hAnsi="Times New Roman"/>
          <w:sz w:val="28"/>
          <w:szCs w:val="28"/>
        </w:rPr>
        <w:t xml:space="preserve"> район</w:t>
      </w:r>
      <w:r w:rsidR="00C61C3E">
        <w:rPr>
          <w:rFonts w:ascii="Times New Roman" w:hAnsi="Times New Roman"/>
          <w:sz w:val="28"/>
          <w:szCs w:val="28"/>
        </w:rPr>
        <w:t xml:space="preserve"> </w:t>
      </w:r>
      <w:proofErr w:type="spellStart"/>
      <w:r w:rsidR="00C61C3E">
        <w:rPr>
          <w:rFonts w:ascii="Times New Roman" w:hAnsi="Times New Roman"/>
          <w:sz w:val="28"/>
          <w:szCs w:val="28"/>
        </w:rPr>
        <w:t>Респулики</w:t>
      </w:r>
      <w:proofErr w:type="spellEnd"/>
      <w:r w:rsidR="00C61C3E">
        <w:rPr>
          <w:rFonts w:ascii="Times New Roman" w:hAnsi="Times New Roman"/>
          <w:sz w:val="28"/>
          <w:szCs w:val="28"/>
        </w:rPr>
        <w:t xml:space="preserve"> Башкортостан</w:t>
      </w:r>
    </w:p>
    <w:p w:rsidR="00C61C3E" w:rsidRPr="00624794" w:rsidRDefault="00C61C3E" w:rsidP="00D36729">
      <w:pPr>
        <w:spacing w:after="0" w:line="240" w:lineRule="auto"/>
        <w:jc w:val="center"/>
        <w:rPr>
          <w:rFonts w:ascii="Times New Roman" w:hAnsi="Times New Roman"/>
          <w:sz w:val="28"/>
          <w:szCs w:val="28"/>
        </w:rPr>
      </w:pPr>
    </w:p>
    <w:p w:rsidR="00D36729" w:rsidRPr="00624794" w:rsidRDefault="00C61C3E" w:rsidP="00C61C3E">
      <w:pPr>
        <w:spacing w:after="0" w:line="240" w:lineRule="auto"/>
        <w:jc w:val="center"/>
        <w:rPr>
          <w:rFonts w:ascii="Times New Roman" w:hAnsi="Times New Roman"/>
          <w:sz w:val="28"/>
          <w:szCs w:val="28"/>
        </w:rPr>
      </w:pPr>
      <w:r w:rsidRPr="00C61C3E">
        <w:rPr>
          <w:rFonts w:ascii="Times New Roman" w:hAnsi="Times New Roman"/>
          <w:sz w:val="28"/>
          <w:szCs w:val="28"/>
        </w:rPr>
        <w:t>ПОСТАНОВЛЕНИЕ</w:t>
      </w:r>
    </w:p>
    <w:p w:rsidR="00C61C3E" w:rsidRDefault="00C61C3E" w:rsidP="00C61C3E">
      <w:pPr>
        <w:spacing w:after="0" w:line="240" w:lineRule="auto"/>
        <w:jc w:val="center"/>
        <w:rPr>
          <w:rFonts w:ascii="Times New Roman" w:hAnsi="Times New Roman"/>
          <w:sz w:val="28"/>
          <w:szCs w:val="28"/>
        </w:rPr>
      </w:pPr>
      <w:r>
        <w:rPr>
          <w:rFonts w:ascii="Times New Roman" w:hAnsi="Times New Roman"/>
          <w:sz w:val="28"/>
          <w:szCs w:val="28"/>
        </w:rPr>
        <w:t xml:space="preserve">от 06 </w:t>
      </w:r>
      <w:r w:rsidR="00C61646">
        <w:rPr>
          <w:rFonts w:ascii="Times New Roman" w:hAnsi="Times New Roman"/>
          <w:sz w:val="28"/>
          <w:szCs w:val="28"/>
        </w:rPr>
        <w:t xml:space="preserve">марта </w:t>
      </w:r>
      <w:r w:rsidR="00D36729">
        <w:rPr>
          <w:rFonts w:ascii="Times New Roman" w:hAnsi="Times New Roman"/>
          <w:sz w:val="28"/>
          <w:szCs w:val="28"/>
        </w:rPr>
        <w:t xml:space="preserve"> 202</w:t>
      </w:r>
      <w:r>
        <w:rPr>
          <w:rFonts w:ascii="Times New Roman" w:hAnsi="Times New Roman"/>
          <w:sz w:val="28"/>
          <w:szCs w:val="28"/>
        </w:rPr>
        <w:t>4 года</w:t>
      </w:r>
      <w:r w:rsidR="00D36729">
        <w:rPr>
          <w:rFonts w:ascii="Times New Roman" w:hAnsi="Times New Roman"/>
          <w:sz w:val="28"/>
          <w:szCs w:val="28"/>
        </w:rPr>
        <w:t xml:space="preserve">   </w:t>
      </w:r>
      <w:r>
        <w:rPr>
          <w:rFonts w:ascii="Times New Roman" w:hAnsi="Times New Roman"/>
          <w:sz w:val="28"/>
          <w:szCs w:val="28"/>
        </w:rPr>
        <w:t>№14</w:t>
      </w:r>
    </w:p>
    <w:p w:rsidR="00D36729" w:rsidRDefault="00D36729" w:rsidP="00D36729">
      <w:pPr>
        <w:spacing w:after="0" w:line="240" w:lineRule="auto"/>
        <w:rPr>
          <w:rFonts w:ascii="Times New Roman" w:hAnsi="Times New Roman"/>
          <w:sz w:val="28"/>
          <w:szCs w:val="28"/>
        </w:rPr>
      </w:pPr>
      <w:r>
        <w:rPr>
          <w:rFonts w:ascii="Times New Roman" w:hAnsi="Times New Roman"/>
          <w:sz w:val="28"/>
          <w:szCs w:val="28"/>
        </w:rPr>
        <w:t xml:space="preserve">                      </w:t>
      </w:r>
      <w:r w:rsidR="00617288">
        <w:rPr>
          <w:rFonts w:ascii="Times New Roman" w:hAnsi="Times New Roman"/>
          <w:sz w:val="28"/>
          <w:szCs w:val="28"/>
        </w:rPr>
        <w:t xml:space="preserve">                             </w:t>
      </w:r>
      <w:r>
        <w:rPr>
          <w:rFonts w:ascii="Times New Roman" w:hAnsi="Times New Roman"/>
          <w:sz w:val="28"/>
          <w:szCs w:val="28"/>
        </w:rPr>
        <w:t xml:space="preserve">    </w:t>
      </w:r>
      <w:r w:rsidR="00C61C3E">
        <w:rPr>
          <w:rFonts w:ascii="Times New Roman" w:hAnsi="Times New Roman"/>
          <w:sz w:val="28"/>
          <w:szCs w:val="28"/>
        </w:rPr>
        <w:t xml:space="preserve">                              </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C61C3E" w:rsidRDefault="00C61C3E" w:rsidP="00D36729">
      <w:pPr>
        <w:spacing w:after="0" w:line="240" w:lineRule="auto"/>
        <w:jc w:val="both"/>
        <w:rPr>
          <w:rFonts w:ascii="Times New Roman" w:hAnsi="Times New Roman"/>
          <w:sz w:val="28"/>
          <w:szCs w:val="28"/>
        </w:rPr>
      </w:pPr>
    </w:p>
    <w:p w:rsidR="00C61C3E" w:rsidRPr="00C83739" w:rsidRDefault="00C61C3E" w:rsidP="00D36729">
      <w:pPr>
        <w:spacing w:after="0" w:line="240" w:lineRule="auto"/>
        <w:jc w:val="both"/>
        <w:rPr>
          <w:rFonts w:ascii="Times New Roman" w:hAnsi="Times New Roman"/>
          <w:sz w:val="28"/>
          <w:szCs w:val="28"/>
        </w:rPr>
      </w:pPr>
    </w:p>
    <w:p w:rsidR="00D36729" w:rsidRDefault="00D36729" w:rsidP="00C61C3E">
      <w:pPr>
        <w:tabs>
          <w:tab w:val="left" w:pos="5520"/>
        </w:tabs>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C61C3E">
        <w:rPr>
          <w:rFonts w:ascii="Times New Roman" w:hAnsi="Times New Roman"/>
          <w:sz w:val="28"/>
          <w:szCs w:val="28"/>
        </w:rPr>
        <w:tab/>
      </w:r>
      <w:proofErr w:type="spellStart"/>
      <w:r w:rsidR="00C61C3E">
        <w:rPr>
          <w:rFonts w:ascii="Times New Roman" w:hAnsi="Times New Roman"/>
          <w:sz w:val="28"/>
          <w:szCs w:val="28"/>
        </w:rPr>
        <w:t>И.Р.Мухаметгалин</w:t>
      </w:r>
      <w:proofErr w:type="spellEnd"/>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proofErr w:type="spellStart"/>
      <w:r w:rsidR="00D57D38">
        <w:rPr>
          <w:rFonts w:ascii="Times New Roman" w:hAnsi="Times New Roman"/>
          <w:sz w:val="20"/>
          <w:szCs w:val="20"/>
        </w:rPr>
        <w:t>Казангуловский</w:t>
      </w:r>
      <w:proofErr w:type="spellEnd"/>
      <w:r w:rsidR="00D57D38">
        <w:rPr>
          <w:rFonts w:ascii="Times New Roman" w:hAnsi="Times New Roman"/>
          <w:sz w:val="20"/>
          <w:szCs w:val="20"/>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w:t>
      </w:r>
      <w:proofErr w:type="spellStart"/>
      <w:r w:rsidR="002F47A0" w:rsidRPr="00D36729">
        <w:rPr>
          <w:rFonts w:ascii="Times New Roman" w:eastAsia="Times New Roman" w:hAnsi="Times New Roman" w:cs="Times New Roman"/>
          <w:sz w:val="20"/>
          <w:szCs w:val="20"/>
        </w:rPr>
        <w:t>Давлекановский</w:t>
      </w:r>
      <w:proofErr w:type="spellEnd"/>
      <w:r w:rsidR="002F47A0" w:rsidRPr="00D36729">
        <w:rPr>
          <w:rFonts w:ascii="Times New Roman" w:eastAsia="Times New Roman" w:hAnsi="Times New Roman" w:cs="Times New Roman"/>
          <w:sz w:val="20"/>
          <w:szCs w:val="20"/>
        </w:rPr>
        <w:t xml:space="preserve"> район  Республики Башкортостан</w:t>
      </w:r>
    </w:p>
    <w:p w:rsidR="00093B96" w:rsidRPr="00401095" w:rsidRDefault="00D57D38" w:rsidP="00D57D38">
      <w:pPr>
        <w:widowControl w:val="0"/>
        <w:autoSpaceDE w:val="0"/>
        <w:autoSpaceDN w:val="0"/>
        <w:spacing w:before="120" w:after="0" w:line="240" w:lineRule="auto"/>
        <w:ind w:left="5245"/>
        <w:rPr>
          <w:rFonts w:ascii="Times New Roman" w:eastAsia="Calibri" w:hAnsi="Times New Roman" w:cs="Times New Roman"/>
          <w:bCs/>
          <w:sz w:val="28"/>
          <w:szCs w:val="28"/>
        </w:rPr>
      </w:pPr>
      <w:r>
        <w:rPr>
          <w:rFonts w:ascii="Times New Roman" w:eastAsia="Times New Roman" w:hAnsi="Times New Roman" w:cs="Times New Roman"/>
          <w:sz w:val="20"/>
          <w:szCs w:val="20"/>
        </w:rPr>
        <w:t>от 06 марта</w:t>
      </w:r>
      <w:r w:rsidR="002F47A0" w:rsidRPr="00D367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2024</w:t>
      </w:r>
      <w:r w:rsidR="002F47A0" w:rsidRPr="00D36729">
        <w:rPr>
          <w:rFonts w:ascii="Times New Roman" w:eastAsia="Times New Roman" w:hAnsi="Times New Roman" w:cs="Times New Roman"/>
          <w:sz w:val="20"/>
          <w:szCs w:val="20"/>
        </w:rPr>
        <w:t xml:space="preserve"> года </w:t>
      </w:r>
      <w:r>
        <w:rPr>
          <w:rFonts w:ascii="Times New Roman" w:eastAsia="Times New Roman" w:hAnsi="Times New Roman" w:cs="Times New Roman"/>
          <w:sz w:val="20"/>
          <w:szCs w:val="20"/>
        </w:rPr>
        <w:t>№14</w:t>
      </w: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proofErr w:type="spellStart"/>
      <w:r w:rsidR="00D57D38">
        <w:rPr>
          <w:b w:val="0"/>
          <w:szCs w:val="24"/>
        </w:rPr>
        <w:t>Казангуловский</w:t>
      </w:r>
      <w:proofErr w:type="spellEnd"/>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proofErr w:type="spellStart"/>
      <w:r w:rsidR="00D57D38">
        <w:rPr>
          <w:szCs w:val="24"/>
        </w:rPr>
        <w:t>Казангуловский</w:t>
      </w:r>
      <w:proofErr w:type="spellEnd"/>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proofErr w:type="spellStart"/>
      <w:r w:rsidR="00D57D38">
        <w:rPr>
          <w:szCs w:val="24"/>
        </w:rPr>
        <w:t>Казангуловский</w:t>
      </w:r>
      <w:proofErr w:type="spellEnd"/>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proofErr w:type="spellStart"/>
      <w:r w:rsidR="00D57D38">
        <w:rPr>
          <w:szCs w:val="24"/>
        </w:rPr>
        <w:t>Казангуловский</w:t>
      </w:r>
      <w:proofErr w:type="spellEnd"/>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w:t>
      </w:r>
      <w:r w:rsidRPr="00617288">
        <w:rPr>
          <w:szCs w:val="24"/>
        </w:rPr>
        <w:lastRenderedPageBreak/>
        <w:t>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lastRenderedPageBreak/>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p>
    <w:p w:rsidR="00D57D38" w:rsidRDefault="00D57D38" w:rsidP="00B42929">
      <w:pPr>
        <w:pStyle w:val="ConsPlusNormal"/>
        <w:contextualSpacing/>
        <w:jc w:val="right"/>
        <w:rPr>
          <w:sz w:val="28"/>
          <w:szCs w:val="28"/>
        </w:rPr>
      </w:pPr>
      <w:bookmarkStart w:id="0" w:name="_GoBack"/>
      <w:bookmarkEnd w:id="0"/>
    </w:p>
    <w:p w:rsidR="00530960" w:rsidRPr="00617288" w:rsidRDefault="00625116" w:rsidP="00B42929">
      <w:pPr>
        <w:pStyle w:val="ConsPlusNormal"/>
        <w:contextualSpacing/>
        <w:jc w:val="right"/>
        <w:rPr>
          <w:sz w:val="20"/>
        </w:rPr>
      </w:pPr>
      <w:r w:rsidRPr="00617288">
        <w:rPr>
          <w:sz w:val="20"/>
        </w:rPr>
        <w:lastRenderedPageBreak/>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w:t>
            </w:r>
            <w:proofErr w:type="gramStart"/>
            <w:r w:rsidR="00625116" w:rsidRPr="00617288">
              <w:rPr>
                <w:rFonts w:ascii="Times New Roman" w:hAnsi="Times New Roman" w:cs="Times New Roman"/>
                <w:b/>
                <w:sz w:val="20"/>
                <w:szCs w:val="20"/>
              </w:rPr>
              <w:t>п</w:t>
            </w:r>
            <w:proofErr w:type="gramEnd"/>
            <w:r w:rsidR="00625116" w:rsidRPr="00617288">
              <w:rPr>
                <w:rFonts w:ascii="Times New Roman" w:hAnsi="Times New Roman" w:cs="Times New Roman"/>
                <w:b/>
                <w:sz w:val="20"/>
                <w:szCs w:val="20"/>
              </w:rPr>
              <w:t>/п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 xml:space="preserve">ляется </w:t>
            </w:r>
            <w:r w:rsidR="00384B5E" w:rsidRPr="00617288">
              <w:rPr>
                <w:rFonts w:ascii="Times New Roman" w:hAnsi="Times New Roman" w:cs="Times New Roman"/>
                <w:sz w:val="20"/>
                <w:szCs w:val="20"/>
              </w:rPr>
              <w:lastRenderedPageBreak/>
              <w:t>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D3" w:rsidRDefault="00C24DD3" w:rsidP="0024334F">
      <w:pPr>
        <w:spacing w:after="0" w:line="240" w:lineRule="auto"/>
      </w:pPr>
      <w:r>
        <w:separator/>
      </w:r>
    </w:p>
  </w:endnote>
  <w:endnote w:type="continuationSeparator" w:id="0">
    <w:p w:rsidR="00C24DD3" w:rsidRDefault="00C24DD3"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D3" w:rsidRDefault="00C24DD3" w:rsidP="0024334F">
      <w:pPr>
        <w:spacing w:after="0" w:line="240" w:lineRule="auto"/>
      </w:pPr>
      <w:r>
        <w:separator/>
      </w:r>
    </w:p>
  </w:footnote>
  <w:footnote w:type="continuationSeparator" w:id="0">
    <w:p w:rsidR="00C24DD3" w:rsidRDefault="00C24DD3"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4DD3"/>
    <w:rsid w:val="00C2737C"/>
    <w:rsid w:val="00C34747"/>
    <w:rsid w:val="00C37261"/>
    <w:rsid w:val="00C408C6"/>
    <w:rsid w:val="00C50219"/>
    <w:rsid w:val="00C53581"/>
    <w:rsid w:val="00C61646"/>
    <w:rsid w:val="00C61A38"/>
    <w:rsid w:val="00C61C3E"/>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57D38"/>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05E6-CD06-410F-BD44-C199D1DD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Work</cp:lastModifiedBy>
  <cp:revision>8</cp:revision>
  <cp:lastPrinted>2020-12-18T06:02:00Z</cp:lastPrinted>
  <dcterms:created xsi:type="dcterms:W3CDTF">2023-04-25T06:35:00Z</dcterms:created>
  <dcterms:modified xsi:type="dcterms:W3CDTF">2024-03-06T07:33:00Z</dcterms:modified>
</cp:coreProperties>
</file>