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9" w:rsidRPr="00B51729" w:rsidRDefault="00AF4107" w:rsidP="00AF4107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br/>
      </w:r>
      <w:r w:rsidR="00B51729" w:rsidRPr="00B51729">
        <w:rPr>
          <w:rFonts w:ascii="Times New Roman" w:hAnsi="Times New Roman"/>
          <w:sz w:val="28"/>
          <w:szCs w:val="28"/>
        </w:rPr>
        <w:t>Администр</w:t>
      </w:r>
      <w:r w:rsidR="00325CE5">
        <w:rPr>
          <w:rFonts w:ascii="Times New Roman" w:hAnsi="Times New Roman"/>
          <w:sz w:val="28"/>
          <w:szCs w:val="28"/>
        </w:rPr>
        <w:t xml:space="preserve">ация сельского поселения </w:t>
      </w:r>
      <w:proofErr w:type="spellStart"/>
      <w:r w:rsidR="00325CE5">
        <w:rPr>
          <w:rFonts w:ascii="Times New Roman" w:hAnsi="Times New Roman"/>
          <w:sz w:val="28"/>
          <w:szCs w:val="28"/>
        </w:rPr>
        <w:t>Алгин</w:t>
      </w:r>
      <w:r w:rsidR="00B51729" w:rsidRPr="00B51729">
        <w:rPr>
          <w:rFonts w:ascii="Times New Roman" w:hAnsi="Times New Roman"/>
          <w:sz w:val="28"/>
          <w:szCs w:val="28"/>
        </w:rPr>
        <w:t>ский</w:t>
      </w:r>
      <w:proofErr w:type="spellEnd"/>
      <w:r w:rsidR="00B51729"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51729"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B51729"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AF4107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____________2022 года № ___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C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51729" w:rsidRPr="00B51729" w:rsidRDefault="00B51729" w:rsidP="00BC5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 w:rsidR="00325CE5">
        <w:rPr>
          <w:rFonts w:ascii="Times New Roman" w:hAnsi="Times New Roman"/>
          <w:bCs/>
          <w:sz w:val="28"/>
          <w:szCs w:val="28"/>
        </w:rPr>
        <w:t>Алгин</w:t>
      </w:r>
      <w:r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 w:rsidR="00325CE5">
        <w:rPr>
          <w:rFonts w:ascii="Times New Roman" w:hAnsi="Times New Roman"/>
          <w:bCs/>
          <w:sz w:val="28"/>
          <w:szCs w:val="28"/>
        </w:rPr>
        <w:t>Алгин</w:t>
      </w:r>
      <w:r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25CE5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325CE5">
        <w:rPr>
          <w:rFonts w:ascii="Times New Roman" w:hAnsi="Times New Roman"/>
          <w:sz w:val="28"/>
          <w:szCs w:val="28"/>
        </w:rPr>
        <w:t>С.М.Хисамутдинов</w:t>
      </w:r>
      <w:proofErr w:type="spellEnd"/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325CE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Алгин</w:t>
      </w:r>
      <w:r w:rsidR="00C37D95" w:rsidRPr="001066DD">
        <w:rPr>
          <w:rFonts w:ascii="Times New Roman" w:hAnsi="Times New Roman"/>
          <w:sz w:val="24"/>
          <w:szCs w:val="24"/>
        </w:rPr>
        <w:t>ский</w:t>
      </w:r>
      <w:proofErr w:type="spellEnd"/>
      <w:r w:rsidR="00C37D95"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C37D95" w:rsidRPr="001066D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C37D95" w:rsidRPr="001066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AF4107">
        <w:rPr>
          <w:rFonts w:ascii="Times New Roman" w:hAnsi="Times New Roman"/>
          <w:sz w:val="24"/>
          <w:szCs w:val="24"/>
        </w:rPr>
        <w:t>«__» __________</w:t>
      </w:r>
      <w:r w:rsidRPr="001066DD">
        <w:rPr>
          <w:rFonts w:ascii="Times New Roman" w:hAnsi="Times New Roman"/>
          <w:sz w:val="24"/>
          <w:szCs w:val="24"/>
        </w:rPr>
        <w:t>20</w:t>
      </w:r>
      <w:r w:rsidR="00AF4107">
        <w:rPr>
          <w:rFonts w:ascii="Times New Roman" w:hAnsi="Times New Roman"/>
          <w:sz w:val="24"/>
          <w:szCs w:val="24"/>
        </w:rPr>
        <w:t>22 года № ___</w:t>
      </w:r>
      <w:bookmarkStart w:id="0" w:name="_GoBack"/>
      <w:bookmarkEnd w:id="0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</w:t>
      </w:r>
      <w:r w:rsidR="00325CE5">
        <w:rPr>
          <w:rFonts w:ascii="Times New Roman" w:hAnsi="Times New Roman"/>
          <w:bCs/>
          <w:sz w:val="28"/>
          <w:szCs w:val="28"/>
        </w:rPr>
        <w:t xml:space="preserve">ии» в сельском поселении </w:t>
      </w:r>
      <w:proofErr w:type="spellStart"/>
      <w:r w:rsidR="00325CE5">
        <w:rPr>
          <w:rFonts w:ascii="Times New Roman" w:hAnsi="Times New Roman"/>
          <w:bCs/>
          <w:sz w:val="28"/>
          <w:szCs w:val="28"/>
        </w:rPr>
        <w:t>Алгин</w:t>
      </w:r>
      <w:r w:rsidRPr="00BC5E01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C5E0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BC5E0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>(далее – объект</w:t>
      </w:r>
      <w:r w:rsidR="00325CE5">
        <w:rPr>
          <w:rFonts w:ascii="Times New Roman" w:hAnsi="Times New Roman"/>
          <w:sz w:val="28"/>
          <w:szCs w:val="28"/>
        </w:rPr>
        <w:t xml:space="preserve">ы)  в сельском поселении </w:t>
      </w:r>
      <w:proofErr w:type="spellStart"/>
      <w:r w:rsidR="00325CE5">
        <w:rPr>
          <w:rFonts w:ascii="Times New Roman" w:hAnsi="Times New Roman"/>
          <w:sz w:val="28"/>
          <w:szCs w:val="28"/>
        </w:rPr>
        <w:t>Алгин</w:t>
      </w:r>
      <w:r w:rsidRPr="00C37D95">
        <w:rPr>
          <w:rFonts w:ascii="Times New Roman" w:hAnsi="Times New Roman"/>
          <w:sz w:val="28"/>
          <w:szCs w:val="28"/>
        </w:rPr>
        <w:t>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325CE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25CE5">
        <w:rPr>
          <w:rFonts w:ascii="Times New Roman" w:hAnsi="Times New Roman"/>
          <w:sz w:val="28"/>
          <w:szCs w:val="28"/>
        </w:rPr>
        <w:t>Алгин</w:t>
      </w:r>
      <w:r w:rsidRPr="00C37D95">
        <w:rPr>
          <w:rFonts w:ascii="Times New Roman" w:hAnsi="Times New Roman"/>
          <w:sz w:val="28"/>
          <w:szCs w:val="28"/>
        </w:rPr>
        <w:t>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325CE5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325CE5">
        <w:rPr>
          <w:rFonts w:ascii="Times New Roman" w:hAnsi="Times New Roman"/>
          <w:sz w:val="28"/>
          <w:szCs w:val="28"/>
        </w:rPr>
        <w:t>http://sovet-</w:t>
      </w:r>
      <w:r w:rsidR="00325CE5">
        <w:rPr>
          <w:rFonts w:ascii="Times New Roman" w:hAnsi="Times New Roman"/>
          <w:sz w:val="28"/>
          <w:szCs w:val="28"/>
        </w:rPr>
        <w:t>davlekanovo.ru/rural/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325CE5">
        <w:rPr>
          <w:rFonts w:ascii="Times New Roman" w:hAnsi="Times New Roman"/>
          <w:sz w:val="28"/>
          <w:szCs w:val="28"/>
        </w:rPr>
        <w:t>www</w:t>
      </w:r>
      <w:proofErr w:type="spellEnd"/>
      <w:r w:rsidRPr="00325CE5">
        <w:rPr>
          <w:rFonts w:ascii="Times New Roman" w:hAnsi="Times New Roman"/>
          <w:sz w:val="28"/>
          <w:szCs w:val="28"/>
        </w:rPr>
        <w:t>. http://sovet-d</w:t>
      </w:r>
      <w:r w:rsidR="00325CE5">
        <w:rPr>
          <w:rFonts w:ascii="Times New Roman" w:hAnsi="Times New Roman"/>
          <w:sz w:val="28"/>
          <w:szCs w:val="28"/>
        </w:rPr>
        <w:t>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/.</w:t>
      </w:r>
      <w:proofErr w:type="spellStart"/>
      <w:r w:rsidRPr="00325CE5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F26153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</w:t>
      </w:r>
      <w:r w:rsidRPr="001C54A9">
        <w:rPr>
          <w:rFonts w:ascii="Times New Roman" w:hAnsi="Times New Roman"/>
          <w:sz w:val="28"/>
        </w:rPr>
        <w:lastRenderedPageBreak/>
        <w:t>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 xml:space="preserve">в виде файлов в формате XML, созданных с использованием XML-схем и обеспечивающих считывание и контроль </w:t>
      </w:r>
      <w:r w:rsidRPr="00C075EE">
        <w:rPr>
          <w:rFonts w:ascii="Times New Roman" w:hAnsi="Times New Roman"/>
          <w:sz w:val="28"/>
          <w:szCs w:val="28"/>
        </w:rPr>
        <w:lastRenderedPageBreak/>
        <w:t>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lastRenderedPageBreak/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Pr="00F26153">
        <w:rPr>
          <w:rFonts w:ascii="Times New Roman" w:hAnsi="Times New Roman"/>
          <w:sz w:val="28"/>
          <w:szCs w:val="28"/>
        </w:rPr>
        <w:lastRenderedPageBreak/>
        <w:t>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F26153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Заявителю обеспечена возможность подачи заявления о </w:t>
      </w:r>
      <w:r w:rsidRPr="00EF4C29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950758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lastRenderedPageBreak/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</w:t>
      </w:r>
      <w:r w:rsidRPr="00F26153">
        <w:rPr>
          <w:rFonts w:ascii="Times New Roman" w:hAnsi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2E333C">
        <w:rPr>
          <w:rFonts w:ascii="Times New Roman" w:hAnsi="Times New Roman"/>
          <w:sz w:val="28"/>
          <w:szCs w:val="28"/>
        </w:rPr>
        <w:lastRenderedPageBreak/>
        <w:t>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lastRenderedPageBreak/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F222EC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</w:t>
      </w:r>
      <w:r w:rsidRPr="00F26153">
        <w:rPr>
          <w:rFonts w:ascii="Times New Roman" w:hAnsi="Times New Roman"/>
          <w:sz w:val="28"/>
          <w:szCs w:val="28"/>
        </w:rPr>
        <w:lastRenderedPageBreak/>
        <w:t>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Pr="00AF4107" w:rsidRDefault="00276072" w:rsidP="0032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7607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276072">
        <w:rPr>
          <w:rFonts w:ascii="Times New Roman" w:hAnsi="Times New Roman"/>
          <w:sz w:val="24"/>
          <w:szCs w:val="24"/>
        </w:rPr>
        <w:t>об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276072">
        <w:rPr>
          <w:rFonts w:ascii="Times New Roman" w:hAnsi="Times New Roman"/>
          <w:sz w:val="24"/>
          <w:szCs w:val="24"/>
        </w:rPr>
        <w:t>в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276072">
        <w:rPr>
          <w:rFonts w:ascii="Times New Roman" w:hAnsi="Times New Roman"/>
          <w:sz w:val="24"/>
          <w:szCs w:val="24"/>
        </w:rPr>
        <w:t>без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которых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276072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25CE5">
        <w:rPr>
          <w:rFonts w:ascii="Times New Roman" w:hAnsi="Times New Roman"/>
          <w:sz w:val="24"/>
          <w:szCs w:val="24"/>
        </w:rPr>
        <w:t>Алгин</w:t>
      </w:r>
      <w:r w:rsidR="007A7CC6">
        <w:rPr>
          <w:rFonts w:ascii="Times New Roman" w:hAnsi="Times New Roman"/>
          <w:sz w:val="24"/>
          <w:szCs w:val="24"/>
        </w:rPr>
        <w:t>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25CE5">
        <w:rPr>
          <w:rFonts w:ascii="Times New Roman" w:hAnsi="Times New Roman"/>
          <w:sz w:val="24"/>
          <w:szCs w:val="24"/>
        </w:rPr>
        <w:t>Алгин</w:t>
      </w:r>
      <w:r w:rsidR="007A7CC6" w:rsidRPr="007A7CC6">
        <w:rPr>
          <w:rFonts w:ascii="Times New Roman" w:hAnsi="Times New Roman"/>
          <w:sz w:val="24"/>
          <w:szCs w:val="24"/>
        </w:rPr>
        <w:t>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lastRenderedPageBreak/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5CE5" w:rsidRDefault="00C37D9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325CE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A7CC6" w:rsidRPr="007A7CC6" w:rsidRDefault="00325CE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Алгин</w:t>
      </w:r>
      <w:r w:rsidR="007A7CC6" w:rsidRPr="007A7CC6">
        <w:rPr>
          <w:rFonts w:ascii="Times New Roman" w:hAnsi="Times New Roman"/>
          <w:sz w:val="24"/>
          <w:szCs w:val="24"/>
        </w:rPr>
        <w:t>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C37D95" w:rsidRPr="007A7CC6" w:rsidRDefault="007A7CC6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proofErr w:type="spellStart"/>
      <w:r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</w:t>
      </w:r>
      <w:proofErr w:type="gramStart"/>
      <w:r w:rsidRPr="007A7CC6">
        <w:rPr>
          <w:rFonts w:ascii="Times New Roman" w:hAnsi="Times New Roman"/>
          <w:sz w:val="24"/>
          <w:szCs w:val="24"/>
        </w:rPr>
        <w:t>в</w:t>
      </w:r>
      <w:proofErr w:type="gramEnd"/>
      <w:r w:rsidRPr="007A7CC6">
        <w:rPr>
          <w:rFonts w:ascii="Times New Roman" w:hAnsi="Times New Roman"/>
          <w:sz w:val="24"/>
          <w:szCs w:val="24"/>
        </w:rPr>
        <w:t xml:space="preserve">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58" w:rsidRDefault="00950758" w:rsidP="00C37D95">
      <w:pPr>
        <w:spacing w:after="0" w:line="240" w:lineRule="auto"/>
      </w:pPr>
      <w:r>
        <w:separator/>
      </w:r>
    </w:p>
  </w:endnote>
  <w:endnote w:type="continuationSeparator" w:id="0">
    <w:p w:rsidR="00950758" w:rsidRDefault="00950758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58" w:rsidRDefault="00950758" w:rsidP="00C37D95">
      <w:pPr>
        <w:spacing w:after="0" w:line="240" w:lineRule="auto"/>
      </w:pPr>
      <w:r>
        <w:separator/>
      </w:r>
    </w:p>
  </w:footnote>
  <w:footnote w:type="continuationSeparator" w:id="0">
    <w:p w:rsidR="00950758" w:rsidRDefault="00950758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AF4107">
      <w:rPr>
        <w:rFonts w:ascii="Times New Roman" w:hAnsi="Times New Roman"/>
        <w:noProof/>
        <w:sz w:val="24"/>
        <w:szCs w:val="24"/>
      </w:rPr>
      <w:t>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1B492D"/>
    <w:rsid w:val="002467A1"/>
    <w:rsid w:val="00276072"/>
    <w:rsid w:val="00325CE5"/>
    <w:rsid w:val="004D60F1"/>
    <w:rsid w:val="005A29F8"/>
    <w:rsid w:val="006930C8"/>
    <w:rsid w:val="006A649E"/>
    <w:rsid w:val="006B3E2E"/>
    <w:rsid w:val="006F58A0"/>
    <w:rsid w:val="007A7CC6"/>
    <w:rsid w:val="00950758"/>
    <w:rsid w:val="00AC370E"/>
    <w:rsid w:val="00AF4107"/>
    <w:rsid w:val="00B51729"/>
    <w:rsid w:val="00BC5E01"/>
    <w:rsid w:val="00C37D9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B699-6D11-43F1-881A-CE955F2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52</Pages>
  <Words>15708</Words>
  <Characters>89542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Алга</cp:lastModifiedBy>
  <cp:revision>4</cp:revision>
  <dcterms:created xsi:type="dcterms:W3CDTF">2022-03-31T17:05:00Z</dcterms:created>
  <dcterms:modified xsi:type="dcterms:W3CDTF">2022-03-31T17:28:00Z</dcterms:modified>
</cp:coreProperties>
</file>