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C1" w:rsidRPr="0001688F" w:rsidRDefault="004C1FC1" w:rsidP="004C1FC1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ПРОЕКТ</w:t>
      </w:r>
    </w:p>
    <w:p w:rsidR="00321E25" w:rsidRPr="0001688F" w:rsidRDefault="004C1FC1" w:rsidP="00321E25">
      <w:pPr>
        <w:suppressAutoHyphens/>
        <w:jc w:val="center"/>
        <w:rPr>
          <w:b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 район Республики Башкортостан</w:t>
      </w:r>
    </w:p>
    <w:p w:rsidR="00321E25" w:rsidRPr="0001688F" w:rsidRDefault="00321E25" w:rsidP="00321E25">
      <w:pPr>
        <w:suppressAutoHyphens/>
        <w:jc w:val="center"/>
        <w:rPr>
          <w:b/>
          <w:sz w:val="28"/>
          <w:szCs w:val="28"/>
        </w:rPr>
      </w:pPr>
    </w:p>
    <w:p w:rsidR="007A592F" w:rsidRPr="0001688F" w:rsidRDefault="007A592F" w:rsidP="006C384E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ПОСТАНОВЛЕНИЯ</w:t>
      </w:r>
    </w:p>
    <w:p w:rsidR="007A592F" w:rsidRPr="0001688F" w:rsidRDefault="007A592F" w:rsidP="00C809F5">
      <w:pPr>
        <w:pStyle w:val="a6"/>
        <w:ind w:firstLine="709"/>
        <w:jc w:val="both"/>
        <w:rPr>
          <w:sz w:val="28"/>
          <w:szCs w:val="28"/>
        </w:rPr>
      </w:pPr>
    </w:p>
    <w:p w:rsidR="007A592F" w:rsidRPr="0001688F" w:rsidRDefault="007A592F" w:rsidP="00C809F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688F">
        <w:rPr>
          <w:rFonts w:ascii="Times New Roman" w:hAnsi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88F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</w:t>
      </w:r>
      <w:r w:rsidR="00C809F5" w:rsidRPr="0001688F">
        <w:rPr>
          <w:rFonts w:ascii="Times New Roman" w:hAnsi="Times New Roman"/>
          <w:sz w:val="28"/>
          <w:szCs w:val="28"/>
        </w:rPr>
        <w:t>«</w:t>
      </w:r>
      <w:r w:rsidRPr="0001688F">
        <w:rPr>
          <w:rFonts w:ascii="Times New Roman" w:hAnsi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809F5" w:rsidRPr="0001688F">
        <w:rPr>
          <w:rFonts w:ascii="Times New Roman" w:hAnsi="Times New Roman"/>
          <w:sz w:val="28"/>
          <w:szCs w:val="28"/>
        </w:rPr>
        <w:t>»</w:t>
      </w:r>
      <w:r w:rsidRPr="0001688F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</w:t>
      </w:r>
      <w:r w:rsidR="00F21D36" w:rsidRPr="0001688F">
        <w:rPr>
          <w:rFonts w:ascii="Times New Roman" w:hAnsi="Times New Roman"/>
          <w:sz w:val="28"/>
          <w:szCs w:val="28"/>
        </w:rPr>
        <w:t xml:space="preserve"> </w:t>
      </w:r>
      <w:r w:rsidRPr="0001688F">
        <w:rPr>
          <w:rFonts w:ascii="Times New Roman" w:hAnsi="Times New Roman"/>
          <w:sz w:val="28"/>
          <w:szCs w:val="28"/>
        </w:rPr>
        <w:t>постановляет:</w:t>
      </w:r>
      <w:bookmarkStart w:id="0" w:name="_GoBack"/>
      <w:bookmarkEnd w:id="0"/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2. Настоящее постановление вступает в силу с  момента подписания.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FC1" w:rsidRPr="0001688F" w:rsidRDefault="004C1FC1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C809F5" w:rsidP="004C1FC1">
      <w:pPr>
        <w:shd w:val="clear" w:color="auto" w:fill="FFFFFF"/>
        <w:tabs>
          <w:tab w:val="left" w:pos="7502"/>
        </w:tabs>
        <w:spacing w:line="322" w:lineRule="exact"/>
        <w:ind w:right="-2"/>
        <w:rPr>
          <w:rFonts w:ascii="Times New Roman" w:hAnsi="Times New Roman"/>
          <w:spacing w:val="-7"/>
          <w:sz w:val="28"/>
          <w:szCs w:val="28"/>
        </w:rPr>
      </w:pPr>
      <w:r w:rsidRPr="0001688F">
        <w:rPr>
          <w:rFonts w:ascii="Times New Roman" w:hAnsi="Times New Roman"/>
          <w:spacing w:val="-7"/>
          <w:sz w:val="28"/>
          <w:szCs w:val="28"/>
        </w:rPr>
        <w:t xml:space="preserve">           </w:t>
      </w:r>
      <w:r w:rsidR="007A592F" w:rsidRPr="0001688F">
        <w:rPr>
          <w:rFonts w:ascii="Times New Roman" w:hAnsi="Times New Roman"/>
          <w:spacing w:val="-7"/>
          <w:sz w:val="28"/>
          <w:szCs w:val="28"/>
        </w:rPr>
        <w:t xml:space="preserve">Глава сельского поселения                                          </w:t>
      </w:r>
      <w:r w:rsidR="004C1FC1" w:rsidRPr="0001688F">
        <w:rPr>
          <w:rFonts w:ascii="Times New Roman" w:hAnsi="Times New Roman"/>
          <w:spacing w:val="-7"/>
          <w:sz w:val="28"/>
          <w:szCs w:val="28"/>
        </w:rPr>
        <w:t xml:space="preserve">                                          ФИО</w:t>
      </w: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384E" w:rsidRPr="0001688F">
        <w:rPr>
          <w:rFonts w:ascii="Times New Roman" w:hAnsi="Times New Roman"/>
          <w:sz w:val="24"/>
          <w:szCs w:val="24"/>
        </w:rPr>
        <w:t>Курманкеевский</w:t>
      </w:r>
      <w:r w:rsidRPr="0001688F">
        <w:rPr>
          <w:rFonts w:ascii="Times New Roman" w:hAnsi="Times New Roman"/>
          <w:sz w:val="24"/>
          <w:szCs w:val="24"/>
        </w:rPr>
        <w:t xml:space="preserve"> сельсовет </w:t>
      </w: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Давлекановский  район </w:t>
      </w: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Порядок</w:t>
      </w:r>
    </w:p>
    <w:p w:rsidR="00C809F5" w:rsidRPr="0001688F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сельского поселения </w:t>
      </w:r>
    </w:p>
    <w:p w:rsidR="00C809F5" w:rsidRPr="0001688F" w:rsidRDefault="006C384E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="007A592F"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</w:t>
      </w:r>
    </w:p>
    <w:p w:rsidR="00C809F5" w:rsidRPr="0001688F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Республики Башкортостан и оценки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</w:t>
      </w:r>
    </w:p>
    <w:p w:rsidR="007A592F" w:rsidRPr="0001688F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A592F" w:rsidRPr="0001688F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I. Общие положения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перечня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методику оценки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(далее - налоговые расходы).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целями социально-экономической политики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Давлекановский  район Республики Башкортостан, не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к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</w:t>
      </w:r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ответственный исполнитель 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района Давлекановский  район </w:t>
      </w:r>
      <w:r w:rsidRPr="0001688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gramStart"/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относящихся</w:t>
      </w:r>
      <w:proofErr w:type="gramEnd"/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реализуемым в рамках нескольких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непрограммных направлений деятельности);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а также иные характеристики, предусмотренные разделом III приложения к настоящему Порядку;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</w:t>
      </w:r>
      <w:r w:rsidRPr="0001688F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их структурных элементов, а также направлений деятельности, не входящих в муниципальные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администрация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б) ведет реестр налоговых расходов;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5. В целях оценки налоговых расходов кураторы налоговых расходов: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формируется в целях оценки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по форме согласно приложению № 1 к настоящему Порядку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формируется администрацией сельского поселения 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1688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Давлекановский  район Республики Башкортостан, а также иным органам, организациям, полномочия учредите  в отношении которых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исполняет администрация сельского поселения, которые предлагается закрепить в качестве кураторов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кураторам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налоговых расходов, и в случае несогласия с указанным распределением направляют 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>, куратора расходов, к которым необходимо отнести каждый налоговый расход, в отношении которого имеются замечания).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>, указанных в пункте 6 настоящего Порядка, затрагивающих соответствующие позиции проекта перечня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lastRenderedPageBreak/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направляют 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соответствующую информацию для уточнения указанного перечня.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формирования проекта решения Совета депутатов поселения о бюджете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 и до 15 декабря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текущего финансового года (в случае уточнения структуры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рассмотрения и утверждения проекта решения Совета депутатов поселения о бюджете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III. Оценка эффективности налоговых расходов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12. В целях оценки эффективности налоговых расходов: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 согласно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Приложению №2;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lastRenderedPageBreak/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а) оценку целесообразности предоставления налоговых расходов;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14. Критериями целесообразности налоговых расходов являются: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и задачам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(в отношении непрограммных налоговых расходов);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 включает оценку бюджетной эффективности налогового расхода.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16. В качестве критерия результативности определяется не менее одного показателя (индикатора):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Башкортостан), на значение которого оказывает влияние рассматриваемый налоговый расход;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lastRenderedPageBreak/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18. В целях проведения оценки бюджетной эффективности налоговых расходов осуществляется: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предоставление гарантий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CC69459" wp14:editId="7935E9AE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88F">
        <w:rPr>
          <w:rFonts w:ascii="Times New Roman" w:hAnsi="Times New Roman" w:cs="Times New Roman"/>
          <w:sz w:val="28"/>
          <w:szCs w:val="28"/>
        </w:rPr>
        <w:t>m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1688F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88F">
        <w:rPr>
          <w:rFonts w:ascii="Times New Roman" w:hAnsi="Times New Roman" w:cs="Times New Roman"/>
          <w:sz w:val="28"/>
          <w:szCs w:val="28"/>
        </w:rPr>
        <w:t>N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01688F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j-м плательщиком в i-м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оцениваются (прогнозируются) по данным кураторов налоговых расходов и администрации;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 (B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B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= N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+ L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>,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N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L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0168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1688F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88F">
        <w:rPr>
          <w:rFonts w:ascii="Times New Roman" w:hAnsi="Times New Roman" w:cs="Times New Roman"/>
          <w:sz w:val="28"/>
          <w:szCs w:val="28"/>
        </w:rPr>
        <w:t>g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1688F">
        <w:rPr>
          <w:rFonts w:ascii="Times New Roman" w:hAnsi="Times New Roman" w:cs="Times New Roman"/>
          <w:sz w:val="28"/>
          <w:szCs w:val="28"/>
        </w:rPr>
        <w:t xml:space="preserve"> - номинальный темп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>прироста доходов бюджета сельского поселения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i-м году по отношению к базовому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19. По итогам оценки результативности формируется заключение: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321E25" w:rsidRPr="0001688F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01688F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01688F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01688F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01688F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8498E" w:rsidRPr="0001688F" w:rsidRDefault="00E8498E" w:rsidP="007A59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98E" w:rsidRPr="0001688F" w:rsidSect="0062067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E2D62" w:rsidRPr="0001688F" w:rsidRDefault="000E2D62" w:rsidP="000E2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4C1FC1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C384E" w:rsidRPr="0001688F">
        <w:rPr>
          <w:rFonts w:ascii="Times New Roman" w:hAnsi="Times New Roman" w:cs="Times New Roman"/>
          <w:sz w:val="24"/>
          <w:szCs w:val="24"/>
        </w:rPr>
        <w:t>Курманкеевский</w:t>
      </w:r>
      <w:r w:rsidRPr="0001688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C1FC1" w:rsidRPr="0001688F" w:rsidRDefault="00B96E59" w:rsidP="004C1F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96E59" w:rsidRPr="0001688F" w:rsidRDefault="00B96E59" w:rsidP="004C1F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Давлекановский  район 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Республики Башкортостан и 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384E" w:rsidRPr="0001688F">
        <w:rPr>
          <w:rFonts w:ascii="Times New Roman" w:hAnsi="Times New Roman" w:cs="Times New Roman"/>
          <w:sz w:val="24"/>
          <w:szCs w:val="24"/>
        </w:rPr>
        <w:t>Курманкеевский</w:t>
      </w:r>
      <w:r w:rsidRPr="0001688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</w:t>
      </w:r>
    </w:p>
    <w:p w:rsidR="000E2D62" w:rsidRPr="0001688F" w:rsidRDefault="00B96E59" w:rsidP="00B96E59">
      <w:pPr>
        <w:pStyle w:val="ConsPlusNormal"/>
        <w:jc w:val="center"/>
        <w:rPr>
          <w:rFonts w:ascii="Times New Roman" w:hAnsi="Times New Roman" w:cs="Times New Roman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98E" w:rsidRPr="00016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168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498E" w:rsidRPr="00016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1688F">
        <w:rPr>
          <w:rFonts w:ascii="Times New Roman" w:hAnsi="Times New Roman" w:cs="Times New Roman"/>
          <w:sz w:val="24"/>
          <w:szCs w:val="24"/>
        </w:rPr>
        <w:t xml:space="preserve">          район Республики Башкортостан</w:t>
      </w:r>
    </w:p>
    <w:p w:rsidR="00B96E59" w:rsidRPr="0001688F" w:rsidRDefault="00E8498E" w:rsidP="00B96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498E" w:rsidRPr="0001688F" w:rsidRDefault="00E8498E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D62" w:rsidRPr="0001688F" w:rsidRDefault="000E2D62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Перечень</w:t>
      </w:r>
    </w:p>
    <w:p w:rsidR="000E2D62" w:rsidRPr="0001688F" w:rsidRDefault="000E2D62" w:rsidP="000E2D62">
      <w:pPr>
        <w:widowControl w:val="0"/>
        <w:autoSpaceDE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15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87"/>
      </w:tblGrid>
      <w:tr w:rsidR="0001688F" w:rsidRPr="0001688F" w:rsidTr="007A592F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N№ п/п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0E2D62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муниципальных программ сельского поселения, структурных элементов  муниципальных программ сельского поселения, в </w:t>
            </w:r>
            <w:proofErr w:type="gramStart"/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01688F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01688F" w:rsidRPr="0001688F" w:rsidTr="007A592F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0E2D62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Наименование дата, 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</w:tr>
      <w:tr w:rsidR="0001688F" w:rsidRPr="0001688F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  <w:jc w:val="right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1688F" w:rsidRPr="0001688F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</w:tr>
    </w:tbl>
    <w:p w:rsidR="000E2D62" w:rsidRPr="0001688F" w:rsidRDefault="000E2D62" w:rsidP="000E2D62">
      <w:pPr>
        <w:widowControl w:val="0"/>
        <w:autoSpaceDE w:val="0"/>
        <w:ind w:firstLine="539"/>
        <w:jc w:val="both"/>
        <w:rPr>
          <w:sz w:val="26"/>
          <w:szCs w:val="26"/>
        </w:rPr>
      </w:pPr>
    </w:p>
    <w:p w:rsidR="00E8498E" w:rsidRPr="0001688F" w:rsidRDefault="00E8498E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498E" w:rsidRPr="0001688F" w:rsidSect="00E8498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0E2D62" w:rsidRPr="0001688F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01688F" w:rsidRDefault="00F54C0B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>Приложение</w:t>
      </w:r>
      <w:r w:rsidR="000E2D62" w:rsidRPr="0001688F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321E25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321E25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4C1FC1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C384E" w:rsidRPr="0001688F">
        <w:rPr>
          <w:rFonts w:ascii="Times New Roman" w:hAnsi="Times New Roman" w:cs="Times New Roman"/>
          <w:sz w:val="24"/>
          <w:szCs w:val="24"/>
        </w:rPr>
        <w:t>Курманкеевский</w:t>
      </w:r>
      <w:r w:rsidR="004435F4" w:rsidRPr="0001688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C1FC1" w:rsidRPr="0001688F" w:rsidRDefault="004435F4" w:rsidP="004C1F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>муниципального</w:t>
      </w:r>
      <w:r w:rsidR="004C1FC1" w:rsidRPr="0001688F">
        <w:rPr>
          <w:rFonts w:ascii="Times New Roman" w:hAnsi="Times New Roman" w:cs="Times New Roman"/>
          <w:sz w:val="24"/>
          <w:szCs w:val="24"/>
        </w:rPr>
        <w:t xml:space="preserve"> </w:t>
      </w:r>
      <w:r w:rsidRPr="0001688F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4435F4" w:rsidRPr="0001688F" w:rsidRDefault="004435F4" w:rsidP="004C1F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Давлекановский  район </w:t>
      </w:r>
    </w:p>
    <w:p w:rsidR="004435F4" w:rsidRPr="0001688F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21E25" w:rsidRPr="0001688F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21E25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4435F4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384E" w:rsidRPr="0001688F">
        <w:rPr>
          <w:rFonts w:ascii="Times New Roman" w:hAnsi="Times New Roman" w:cs="Times New Roman"/>
          <w:sz w:val="24"/>
          <w:szCs w:val="24"/>
        </w:rPr>
        <w:t>Курманкеевский</w:t>
      </w:r>
      <w:r w:rsidR="004435F4" w:rsidRPr="0001688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435F4" w:rsidRPr="0001688F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</w:t>
      </w:r>
    </w:p>
    <w:p w:rsidR="00321E25" w:rsidRPr="0001688F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321E25" w:rsidRPr="0001688F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21E25" w:rsidRPr="0001688F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Перечень</w:t>
      </w:r>
    </w:p>
    <w:p w:rsidR="00321E25" w:rsidRPr="0001688F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информации, включаемой в паспорт налогового расхода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="004435F4"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543"/>
        <w:gridCol w:w="4028"/>
      </w:tblGrid>
      <w:tr w:rsidR="0001688F" w:rsidRPr="0001688F" w:rsidTr="0075404F">
        <w:tc>
          <w:tcPr>
            <w:tcW w:w="0" w:type="auto"/>
            <w:gridSpan w:val="2"/>
            <w:hideMark/>
          </w:tcPr>
          <w:p w:rsidR="00321E25" w:rsidRPr="0001688F" w:rsidRDefault="00321E25" w:rsidP="007540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данных</w:t>
            </w:r>
          </w:p>
        </w:tc>
      </w:tr>
      <w:tr w:rsidR="0001688F" w:rsidRPr="0001688F" w:rsidTr="0075404F">
        <w:tc>
          <w:tcPr>
            <w:tcW w:w="0" w:type="auto"/>
            <w:gridSpan w:val="3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I. Нормативные характеристики налогового расхода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(далее - налоговый расход)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rPr>
          <w:trHeight w:val="311"/>
        </w:trPr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налогового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gridSpan w:val="3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Целевые характеристики налогового расхода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  <w:proofErr w:type="gramEnd"/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, в рамках которых реализуются цели предоставления налогового расхода</w:t>
            </w:r>
            <w:proofErr w:type="gramEnd"/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куратора</w:t>
            </w:r>
          </w:p>
        </w:tc>
      </w:tr>
      <w:tr w:rsidR="0001688F" w:rsidRPr="0001688F" w:rsidTr="0075404F">
        <w:tc>
          <w:tcPr>
            <w:tcW w:w="0" w:type="auto"/>
            <w:gridSpan w:val="3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321E25" w:rsidRPr="0001688F" w:rsidRDefault="00321E25" w:rsidP="004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данные главного администратора доходов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hyperlink r:id="rId6" w:anchor="2" w:history="1">
              <w:r w:rsidRPr="0001688F">
                <w:rPr>
                  <w:rFonts w:ascii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7" w:anchor="3" w:history="1">
              <w:r w:rsidRPr="0001688F">
                <w:rPr>
                  <w:rFonts w:ascii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hideMark/>
          </w:tcPr>
          <w:p w:rsidR="00321E25" w:rsidRPr="0001688F" w:rsidRDefault="00321E25" w:rsidP="0004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  <w:proofErr w:type="gramEnd"/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сборов и таможенного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главного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администратора доходов</w:t>
            </w:r>
          </w:p>
        </w:tc>
      </w:tr>
    </w:tbl>
    <w:p w:rsidR="00321E25" w:rsidRPr="0001688F" w:rsidRDefault="00321E25" w:rsidP="00321E25">
      <w:pPr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</w:t>
      </w:r>
    </w:p>
    <w:p w:rsidR="007A592F" w:rsidRPr="0001688F" w:rsidRDefault="007A592F" w:rsidP="007A592F">
      <w:pPr>
        <w:spacing w:after="255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01688F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7A592F" w:rsidRPr="0001688F" w:rsidRDefault="007A592F" w:rsidP="007A592F">
      <w:pPr>
        <w:spacing w:after="2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88F">
        <w:rPr>
          <w:rFonts w:ascii="Times New Roman" w:hAnsi="Times New Roman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01688F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и оценки налоговых расходов </w:t>
      </w:r>
      <w:r w:rsidRPr="0001688F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7A592F" w:rsidRPr="0001688F" w:rsidRDefault="007A592F" w:rsidP="007A592F">
      <w:pPr>
        <w:spacing w:after="255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01688F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4041FD" w:rsidRPr="0001688F" w:rsidRDefault="004041FD">
      <w:pPr>
        <w:rPr>
          <w:rFonts w:ascii="Times New Roman" w:hAnsi="Times New Roman" w:cs="Times New Roman"/>
          <w:sz w:val="28"/>
          <w:szCs w:val="28"/>
        </w:rPr>
      </w:pPr>
    </w:p>
    <w:sectPr w:rsidR="004041FD" w:rsidRPr="0001688F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5"/>
    <w:rsid w:val="0001688F"/>
    <w:rsid w:val="00041A1C"/>
    <w:rsid w:val="00067AFD"/>
    <w:rsid w:val="000E2D62"/>
    <w:rsid w:val="001433A4"/>
    <w:rsid w:val="00143DD9"/>
    <w:rsid w:val="002872A9"/>
    <w:rsid w:val="002D1B3E"/>
    <w:rsid w:val="00321E25"/>
    <w:rsid w:val="003D13CF"/>
    <w:rsid w:val="004041FD"/>
    <w:rsid w:val="004435F4"/>
    <w:rsid w:val="004C1FC1"/>
    <w:rsid w:val="004C567D"/>
    <w:rsid w:val="006C384E"/>
    <w:rsid w:val="0074080B"/>
    <w:rsid w:val="007A592F"/>
    <w:rsid w:val="008A2778"/>
    <w:rsid w:val="008A42B4"/>
    <w:rsid w:val="00A512A4"/>
    <w:rsid w:val="00AA45A4"/>
    <w:rsid w:val="00B96E59"/>
    <w:rsid w:val="00BB04F4"/>
    <w:rsid w:val="00C75DA4"/>
    <w:rsid w:val="00C809F5"/>
    <w:rsid w:val="00E8498E"/>
    <w:rsid w:val="00F21D36"/>
    <w:rsid w:val="00F54C0B"/>
    <w:rsid w:val="00F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21E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0E2D62"/>
    <w:rPr>
      <w:color w:val="000080"/>
      <w:u w:val="single"/>
    </w:rPr>
  </w:style>
  <w:style w:type="paragraph" w:styleId="a6">
    <w:name w:val="No Spacing"/>
    <w:uiPriority w:val="1"/>
    <w:qFormat/>
    <w:rsid w:val="00C80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21E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0E2D62"/>
    <w:rPr>
      <w:color w:val="000080"/>
      <w:u w:val="single"/>
    </w:rPr>
  </w:style>
  <w:style w:type="paragraph" w:styleId="a6">
    <w:name w:val="No Spacing"/>
    <w:uiPriority w:val="1"/>
    <w:qFormat/>
    <w:rsid w:val="00C80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6629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62964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</Company>
  <LinksUpToDate>false</LinksUpToDate>
  <CharactersWithSpaces>31355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Курманкеевский</cp:lastModifiedBy>
  <cp:revision>2</cp:revision>
  <dcterms:created xsi:type="dcterms:W3CDTF">2020-05-12T09:59:00Z</dcterms:created>
  <dcterms:modified xsi:type="dcterms:W3CDTF">2020-05-12T09:59:00Z</dcterms:modified>
</cp:coreProperties>
</file>